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6A" w:rsidRPr="00306BB9" w:rsidRDefault="00264B6A">
      <w:pPr>
        <w:rPr>
          <w:rFonts w:ascii="Sylfaen" w:hAnsi="Sylfaen" w:cs="Sylfaen"/>
          <w:sz w:val="20"/>
          <w:szCs w:val="20"/>
          <w:lang w:val="ka-GE"/>
        </w:rPr>
      </w:pPr>
      <w:bookmarkStart w:id="0" w:name="_GoBack"/>
      <w:bookmarkEnd w:id="0"/>
      <w:r w:rsidRPr="00306BB9">
        <w:rPr>
          <w:rFonts w:ascii="Sylfaen" w:hAnsi="Sylfaen" w:cs="Sylfaen"/>
          <w:sz w:val="20"/>
          <w:szCs w:val="20"/>
          <w:lang w:val="ka-GE"/>
        </w:rPr>
        <w:t>ფურცელი-ჩანართი, ინფორმაცია პაციენტისთვის</w:t>
      </w:r>
    </w:p>
    <w:p w:rsidR="00D94ADE" w:rsidRDefault="00D94ADE" w:rsidP="00D94ADE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სარეკომენდაციო ვერსია</w:t>
      </w:r>
    </w:p>
    <w:p w:rsidR="00264B6A" w:rsidRPr="00306BB9" w:rsidRDefault="00264B6A" w:rsidP="008C2DAD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ტანინალი</w:t>
      </w:r>
      <w:r w:rsidRPr="00306BB9">
        <w:rPr>
          <w:rFonts w:ascii="Andalus" w:hAnsi="Andalus" w:cs="Andalus"/>
          <w:b/>
          <w:bCs/>
          <w:sz w:val="20"/>
          <w:szCs w:val="20"/>
          <w:lang w:val="ka-GE"/>
        </w:rPr>
        <w:t>®</w:t>
      </w:r>
    </w:p>
    <w:p w:rsidR="00264B6A" w:rsidRPr="00306BB9" w:rsidRDefault="00264B6A" w:rsidP="008C2DAD">
      <w:pPr>
        <w:spacing w:after="0" w:line="240" w:lineRule="auto"/>
        <w:jc w:val="center"/>
        <w:rPr>
          <w:rFonts w:ascii="Sylfaen" w:hAnsi="Sylfaen" w:cs="Sylfaen"/>
          <w:i/>
          <w:iCs/>
          <w:sz w:val="20"/>
          <w:szCs w:val="20"/>
        </w:rPr>
      </w:pPr>
      <w:proofErr w:type="spellStart"/>
      <w:r w:rsidRPr="00306BB9">
        <w:rPr>
          <w:rFonts w:ascii="Sylfaen" w:hAnsi="Sylfaen" w:cs="Sylfaen"/>
          <w:i/>
          <w:iCs/>
          <w:sz w:val="20"/>
          <w:szCs w:val="20"/>
        </w:rPr>
        <w:t>Tanninum</w:t>
      </w:r>
      <w:proofErr w:type="spellEnd"/>
      <w:r w:rsidRPr="00306BB9">
        <w:rPr>
          <w:rFonts w:ascii="Sylfaen" w:hAnsi="Sylfaen" w:cs="Sylfaen"/>
          <w:i/>
          <w:iCs/>
          <w:sz w:val="20"/>
          <w:szCs w:val="20"/>
        </w:rPr>
        <w:t xml:space="preserve"> </w:t>
      </w:r>
      <w:proofErr w:type="spellStart"/>
      <w:r w:rsidRPr="00306BB9">
        <w:rPr>
          <w:rFonts w:ascii="Sylfaen" w:hAnsi="Sylfaen" w:cs="Sylfaen"/>
          <w:i/>
          <w:iCs/>
          <w:sz w:val="20"/>
          <w:szCs w:val="20"/>
        </w:rPr>
        <w:t>albuminatum</w:t>
      </w:r>
      <w:proofErr w:type="spellEnd"/>
    </w:p>
    <w:p w:rsidR="00264B6A" w:rsidRPr="00306BB9" w:rsidRDefault="00264B6A" w:rsidP="008C2DAD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</w:rPr>
        <w:t>500</w:t>
      </w:r>
      <w:r w:rsidRPr="00306BB9">
        <w:rPr>
          <w:rFonts w:ascii="Sylfaen" w:hAnsi="Sylfaen" w:cs="Sylfaen"/>
          <w:sz w:val="20"/>
          <w:szCs w:val="20"/>
          <w:lang w:val="ka-GE"/>
        </w:rPr>
        <w:t>მგ, ტაბლეტები</w:t>
      </w:r>
    </w:p>
    <w:p w:rsidR="00264B6A" w:rsidRPr="00306BB9" w:rsidRDefault="00264B6A" w:rsidP="008C2DAD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 xml:space="preserve">ტანინალის სამედიცინო პროდუქტის გამოყენებამდე ყურადღებით წაიკითხეთ გამოყენების ინსტრუქცია, რადგან ის შეიცავს თქვენთვის მნიშვნელოვან ინფორმაციას.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მედიკამენტი ყოველთვის გამოიყენეთ ჩანართში აღწერილი წესით ან ექიმის ან ფარმაცევტის დანიშნულებით.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-შეინახეთ </w:t>
      </w:r>
      <w:r w:rsidR="00D10F3F">
        <w:rPr>
          <w:rFonts w:ascii="Sylfaen" w:hAnsi="Sylfaen" w:cs="Sylfaen"/>
          <w:sz w:val="20"/>
          <w:szCs w:val="20"/>
          <w:lang w:val="ka-GE"/>
        </w:rPr>
        <w:t>ჩანართ</w:t>
      </w:r>
      <w:r w:rsidRPr="00306BB9">
        <w:rPr>
          <w:rFonts w:ascii="Sylfaen" w:hAnsi="Sylfaen" w:cs="Sylfaen"/>
          <w:sz w:val="20"/>
          <w:szCs w:val="20"/>
          <w:lang w:val="ka-GE"/>
        </w:rPr>
        <w:t>ი. შეიძლება დაგჭირდეთ მისი ხელახლა წაკითხვა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-დამატებითი ინფორმაციის ან რჩევის მისაღებად მიმართეთ ექიმს ან ფარმაცევტს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-გვერდითი ეფექტების შემთხვევაში მიმართეთ ექიმს ან ფარმაცევტს. ეს მოიცავს შესაძლო გვერდით ეფექტებს, </w:t>
      </w:r>
      <w:r w:rsidR="00D10F3F">
        <w:rPr>
          <w:rFonts w:ascii="Sylfaen" w:hAnsi="Sylfaen" w:cs="Sylfaen"/>
          <w:sz w:val="20"/>
          <w:szCs w:val="20"/>
          <w:lang w:val="ka-GE"/>
        </w:rPr>
        <w:t>რომ</w:t>
      </w:r>
      <w:r w:rsidRPr="00306BB9">
        <w:rPr>
          <w:rFonts w:ascii="Sylfaen" w:hAnsi="Sylfaen" w:cs="Sylfaen"/>
          <w:sz w:val="20"/>
          <w:szCs w:val="20"/>
          <w:lang w:val="ka-GE"/>
        </w:rPr>
        <w:t>ლ</w:t>
      </w:r>
      <w:r w:rsidR="00D10F3F">
        <w:rPr>
          <w:rFonts w:ascii="Sylfaen" w:hAnsi="Sylfaen" w:cs="Sylfaen"/>
          <w:sz w:val="20"/>
          <w:szCs w:val="20"/>
          <w:lang w:val="ka-GE"/>
        </w:rPr>
        <w:t>ე</w:t>
      </w:r>
      <w:r w:rsidRPr="00306BB9">
        <w:rPr>
          <w:rFonts w:ascii="Sylfaen" w:hAnsi="Sylfaen" w:cs="Sylfaen"/>
          <w:sz w:val="20"/>
          <w:szCs w:val="20"/>
          <w:lang w:val="ka-GE"/>
        </w:rPr>
        <w:t>ბიც  ჩამოთვლილი არ არის ამ ჩანართში. იხ. პარგრაფი 4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- თქვენ უნდა მიმართოთ ექიმს</w:t>
      </w:r>
      <w:r w:rsidR="00D10F3F">
        <w:rPr>
          <w:rFonts w:ascii="Sylfaen" w:hAnsi="Sylfaen" w:cs="Sylfaen"/>
          <w:sz w:val="20"/>
          <w:szCs w:val="20"/>
          <w:lang w:val="ka-GE"/>
        </w:rPr>
        <w:t>,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თუ თავს უკეთ არ გრძნობთ ან უარესად ხართ 2-3 დღის (მოზრდილები) ან 1 დღის შემდეგ (ბავშვები).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ინსტრუქციაში: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1.რა არის ტანინალი და რისთვის გამოიყენება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2. რა უნდა იცოდეთ ტანინალის გამოყენებამდე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3.როგორ გამოიყენება ტანინალი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4. შესაძლო გვერდითი ეფექტები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5. როგორ ინახება ტანინალი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 xml:space="preserve">6. შეფუთვის შემადგენლობა და სხვა ინფორმაცია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1.რა არის ტანინალი და რისთვის გამოიყენება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ტანინალი არის ტრადიციული სამედიცინო პროდუქტი, რომლის ეფექტურობაც დაფუძნებულია ექსკლუზიურად ხანგრძ</w:t>
      </w:r>
      <w:r w:rsidR="00D10F3F">
        <w:rPr>
          <w:rFonts w:ascii="Sylfaen" w:hAnsi="Sylfaen" w:cs="Sylfaen"/>
          <w:sz w:val="20"/>
          <w:szCs w:val="20"/>
          <w:lang w:val="ka-GE"/>
        </w:rPr>
        <w:t>ლ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ივ გამოყენებასა და გამოცდილებაზე. ტანინალი შეიცავს ტანინების - ტანინის მჟავას (ტანინი) და ცილის-ალბუმინის კომბინაციას. ამ კომბინაციის გამო პრეპარატს არ ახასიათებს კუჭის ლორწოვანზე ძლიერი გამაღიზიანებელი ეფექტი. პრეპარატი გამოყოფს ტანინებს წვრილ ნაწლავში, პანკრეატინის-საჭმლის მომნელებელი ენზიმის მოქმედებით. ტანინების გამოყოფა ავლენს ასტრინგენტულ და </w:t>
      </w:r>
      <w:r w:rsidR="00D10F3F">
        <w:rPr>
          <w:rFonts w:ascii="Sylfaen" w:hAnsi="Sylfaen" w:cs="Sylfaen"/>
          <w:sz w:val="20"/>
          <w:szCs w:val="20"/>
          <w:lang w:val="ka-GE"/>
        </w:rPr>
        <w:t>ბაქტერიოსტატ</w:t>
      </w:r>
      <w:r w:rsidRPr="00306BB9">
        <w:rPr>
          <w:rFonts w:ascii="Sylfaen" w:hAnsi="Sylfaen" w:cs="Sylfaen"/>
          <w:sz w:val="20"/>
          <w:szCs w:val="20"/>
          <w:lang w:val="ka-GE"/>
        </w:rPr>
        <w:t>ურ ეფექტს. ასევე გააჩნია ანტიდიარეული ეფექტი, წარმოქმნის ძნელად ხსნად პროდუქტებს ბაქტერიულ ტოქსინებთან. ამას გარდა აინჰიბირებს მცირე სისხლდენას წვრილი ნაწლავის ლორწოვანის კაპილარების დაზიანების შემთხვევაში. ტანინალი ტრადიციოლად გამ</w:t>
      </w:r>
      <w:r w:rsidR="00D10F3F">
        <w:rPr>
          <w:rFonts w:ascii="Sylfaen" w:hAnsi="Sylfaen" w:cs="Sylfaen"/>
          <w:sz w:val="20"/>
          <w:szCs w:val="20"/>
          <w:lang w:val="ka-GE"/>
        </w:rPr>
        <w:t>ო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იყენება დიარეის დროს და საკვებით მოწამვლისას.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2. რა უნდა იცოდეთ ტანინალის გამოყენებამდე</w:t>
      </w:r>
    </w:p>
    <w:p w:rsidR="00264B6A" w:rsidRPr="00306BB9" w:rsidRDefault="00264B6A" w:rsidP="00306BB9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არ გამოიყენოთ ტანინალი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არ გამოიყენოთ თუ ხართ ალერგიული აქტიური ინგრედიენტის (ალბუმინის ტანატი) ან ამ მედიკამენტის სხვა ინგრედიენტების მიმართ (ჩამოთვლილია პარაგრაფ</w:t>
      </w:r>
      <w:r>
        <w:rPr>
          <w:rFonts w:ascii="Sylfaen" w:hAnsi="Sylfaen" w:cs="Sylfaen"/>
          <w:sz w:val="20"/>
          <w:szCs w:val="20"/>
          <w:lang w:val="ka-GE"/>
        </w:rPr>
        <w:t>შ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ი 6). არ გამოიყენოთ 4 წლამდე ასაკის ბავშვებში.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გაფრთხილებები და უსაფრთხოების ზომები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თუ მკურნალობის მიუხედავად დიარეა ძლიერდება ან </w:t>
      </w:r>
      <w:r>
        <w:rPr>
          <w:rFonts w:ascii="Sylfaen" w:hAnsi="Sylfaen" w:cs="Sylfaen"/>
          <w:sz w:val="20"/>
          <w:szCs w:val="20"/>
          <w:lang w:val="ka-GE"/>
        </w:rPr>
        <w:t>ხანგრძლივდება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2-3 დღეზე დიდხანს მოზრდილებში და მოზარდებში ან 1 დღეზე დიდხანს ბავშვებში, უნდა მიმართოთ ექიმს.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სხვა მედიკამენტები და ტანინალი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ტანინალი არ უნდა გამოიყენონ სხვა მედიკამენტებთნ კომბინაციაში. ტანინალი მიიღეთ სხვა მედიკამენტებ</w:t>
      </w:r>
      <w:r>
        <w:rPr>
          <w:rFonts w:ascii="Sylfaen" w:hAnsi="Sylfaen" w:cs="Sylfaen"/>
          <w:sz w:val="20"/>
          <w:szCs w:val="20"/>
          <w:lang w:val="ka-GE"/>
        </w:rPr>
        <w:t>ის გამოყენებამდე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მინიმუმ 2 საათით ადრე რადგან მან შეიძლება გამოიწვიოს მათი აბსორბციის ინჰიბირება.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ტანინალი საკვებთან,  სასმელთან და ალკოჰოლთან ერთად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ტანინალი მიიღეთ საკვების მიღებ</w:t>
      </w:r>
      <w:r>
        <w:rPr>
          <w:rFonts w:ascii="Sylfaen" w:hAnsi="Sylfaen" w:cs="Sylfaen"/>
          <w:sz w:val="20"/>
          <w:szCs w:val="20"/>
          <w:lang w:val="ka-GE"/>
        </w:rPr>
        <w:t>ებ</w:t>
      </w:r>
      <w:r w:rsidRPr="00306BB9">
        <w:rPr>
          <w:rFonts w:ascii="Sylfaen" w:hAnsi="Sylfaen" w:cs="Sylfaen"/>
          <w:sz w:val="20"/>
          <w:szCs w:val="20"/>
          <w:lang w:val="ka-GE"/>
        </w:rPr>
        <w:t>ს შორის. მკურნალობის განმავლობაშ</w:t>
      </w:r>
      <w:r>
        <w:rPr>
          <w:rFonts w:ascii="Sylfaen" w:hAnsi="Sylfaen" w:cs="Sylfaen"/>
          <w:sz w:val="20"/>
          <w:szCs w:val="20"/>
          <w:lang w:val="ka-GE"/>
        </w:rPr>
        <w:t>ი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უნდა მიიღოთ ბევრი სითხე.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 xml:space="preserve">ორსულობა,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ლაქტაცია</w:t>
      </w: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 xml:space="preserve"> და ფერტილობა</w:t>
      </w:r>
    </w:p>
    <w:p w:rsidR="00264B6A" w:rsidRPr="00306BB9" w:rsidRDefault="00264B6A" w:rsidP="00B26C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lastRenderedPageBreak/>
        <w:t>ორსულ და მეძუძურ ქალებში კონტროლირებული კლინიკური კვლევები არ ჩატარებულა. ტანინალის გამოყენებამდე რჩევა კითხეთ ექიმს. ფერტილობაზე ეფექტი უცნობია. თუ ფიქრობთ</w:t>
      </w:r>
      <w:r>
        <w:rPr>
          <w:rFonts w:ascii="Sylfaen" w:hAnsi="Sylfaen" w:cs="Sylfaen"/>
          <w:sz w:val="20"/>
          <w:szCs w:val="20"/>
          <w:lang w:val="ka-GE"/>
        </w:rPr>
        <w:t>,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რომ ორსულად ხართ ან ორსულობას გეგმავთ, ამ მედიკამენტის გამოყენებამდე მიმართეთ ექიმს ან ფარმაცევტს. </w:t>
      </w:r>
    </w:p>
    <w:p w:rsidR="00264B6A" w:rsidRPr="00306BB9" w:rsidRDefault="00264B6A" w:rsidP="00B26C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B26C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ავტომობილის მართვა და მექანიზმების გამოყენება</w:t>
      </w:r>
    </w:p>
    <w:p w:rsidR="00264B6A" w:rsidRPr="00306BB9" w:rsidRDefault="00264B6A" w:rsidP="00B26C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ეს მედიკამენტი არ მოქმედებს ავტომობილის მართვის და მექანიზმების გამოყენების უნარზე</w:t>
      </w:r>
    </w:p>
    <w:p w:rsidR="00264B6A" w:rsidRPr="00306BB9" w:rsidRDefault="00264B6A" w:rsidP="00B26C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 xml:space="preserve">3. როგორ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მიიღება</w:t>
      </w: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 xml:space="preserve"> ტანინალი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მედიკამენტი ყოველთვის გამოიყენეთ ინსტრუქციის ან ექიმის ან ფარმაცერვტის დანიშ</w:t>
      </w:r>
      <w:r>
        <w:rPr>
          <w:rFonts w:ascii="Sylfaen" w:hAnsi="Sylfaen" w:cs="Sylfaen"/>
          <w:sz w:val="20"/>
          <w:szCs w:val="20"/>
          <w:lang w:val="ka-GE"/>
        </w:rPr>
        <w:t>ნ</w:t>
      </w:r>
      <w:r w:rsidRPr="00306BB9">
        <w:rPr>
          <w:rFonts w:ascii="Sylfaen" w:hAnsi="Sylfaen" w:cs="Sylfaen"/>
          <w:sz w:val="20"/>
          <w:szCs w:val="20"/>
          <w:lang w:val="ka-GE"/>
        </w:rPr>
        <w:t>ულების მ</w:t>
      </w:r>
      <w:r>
        <w:rPr>
          <w:rFonts w:ascii="Sylfaen" w:hAnsi="Sylfaen" w:cs="Sylfaen"/>
          <w:sz w:val="20"/>
          <w:szCs w:val="20"/>
          <w:lang w:val="ka-GE"/>
        </w:rPr>
        <w:t>იხ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ედვით. ეჭვის შემთხვევაში მიმართეთ ექიმს ან ფარმაევტს. ეს მედიკამენტი განკუთვნილია ორალური გამოყენებისთვის. ტაბლეტის მიღების შემდეგ დააყოლეთ წყალი. უნდა მიიღოთ საკვების </w:t>
      </w:r>
      <w:r w:rsidR="00D10F3F">
        <w:rPr>
          <w:rFonts w:ascii="Sylfaen" w:hAnsi="Sylfaen" w:cs="Sylfaen"/>
          <w:sz w:val="20"/>
          <w:szCs w:val="20"/>
          <w:lang w:val="ka-GE"/>
        </w:rPr>
        <w:t>მიღებებ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ს შორის. მედიკამენტი გამოიყენეთ სიმპტომების გაქრობამდე.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მოზრდილები-დღე-ღამეში 3-ჯერ 1 -2 ტაბლეტი.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4 წელზე უფროსი ასაკის ბავშვები და 18 წლამდე ასაკის მოზარდები-2-3 ჯერ დღე-ღამეში 1/2-1 ტაბლეტი.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4 წლამდე ასაკის ბავშვები-არ გამოიყენოთ. </w:t>
      </w:r>
    </w:p>
    <w:p w:rsidR="00264B6A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თუ მიიღეთ საჭიროზე მეტი ტანინალი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თუ მიიღეთ რეკომენდებულზე მეტი ტანინალი და თავს ცუდად გრძნობთ (გულისრევა, ღებინება), მიმართეთ ექიმს ან ფარმაცევტს.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თუ დაგავიწყდათ ტანინალის გამოყენება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განაგრძეთ მკურნალობა. გამოტოვებულის კომპენსაციისთვის არ მიიღოთ ორმაგი დოზა. </w:t>
      </w:r>
    </w:p>
    <w:p w:rsidR="00264B6A" w:rsidRPr="00306BB9" w:rsidRDefault="00264B6A" w:rsidP="00192485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4. შესაძლო გვერდითი ეფექტები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როგორც ყველა მედიკამენტი, ეს პრეპარატიც შეიძლება იწვევდეს გვერდით ეფექტებს, თუმცა ისინი ყველას არ უვითარდება. გვერდითი ეფექტები წარმოდგენილია MedDRA სისტემის ორგანოთა კლასის და სიხშირის მიხედვით: იშვიათი-გვერდითი ეფექტები შეიძება აღინიშNოს 10,000-დან 1-10 შემთხვევაში. ტანინალის გამოყენებისას შეიძლება აღინიშნოს: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გასტროინტესტინური დარღვევები (გულისრევა, ღებინება)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306BB9">
        <w:rPr>
          <w:rFonts w:ascii="Sylfaen" w:hAnsi="Sylfaen" w:cs="Sylfaen"/>
          <w:sz w:val="20"/>
          <w:szCs w:val="20"/>
          <w:lang w:val="ka-GE"/>
        </w:rPr>
        <w:t>-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იშვიათი.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გვერდითი ეფექტების შეტყობინება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გვერდითი ეფექტების შემთხვევაში მიმართეთ ექიმს ან ფარმაცევტს. ეს მოიცავს იმ გვერდით ეფეტებსაც, </w:t>
      </w:r>
      <w:r>
        <w:rPr>
          <w:rFonts w:ascii="Sylfaen" w:hAnsi="Sylfaen" w:cs="Sylfaen"/>
          <w:sz w:val="20"/>
          <w:szCs w:val="20"/>
          <w:lang w:val="ka-GE"/>
        </w:rPr>
        <w:t>რო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მლებიც </w:t>
      </w:r>
      <w:r>
        <w:rPr>
          <w:rFonts w:ascii="Sylfaen" w:hAnsi="Sylfaen" w:cs="Sylfaen"/>
          <w:sz w:val="20"/>
          <w:szCs w:val="20"/>
          <w:lang w:val="ka-GE"/>
        </w:rPr>
        <w:t>ჩამოტვლილი არ არის ჩანართში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. გვერდითი ეფექტების შეტყობინება შესაძლებელია პირდაპირ სამედიცინო პროდუქტების, სამედიცინო აპარატურის და ბიოციდური პროტუქტების რეგისტრაციის ოფისის ფარმაკოედამხედველობის დეპარტამენტისთვის (Departament Monitorowania NiepoŻądanych Działań Produktów Leczniczych Urzędu Rejestracji Produktów Leczniczych' Wyrobów Medycznych i Produktów Biobójczych), Al. Jerozolimskie l81 C, 02-222 Warszawa, ტელეფონი: (Ż2) 49-2I-301, fax: (22) 49-Żl-309, ელ-ფოსტაndl(@urpl.gov.pl. გვერდითი ეფექტების შეტყობინება ასევე შესაძლებელია </w:t>
      </w:r>
      <w:r>
        <w:rPr>
          <w:rFonts w:ascii="Sylfaen" w:hAnsi="Sylfaen" w:cs="Sylfaen"/>
          <w:sz w:val="20"/>
          <w:szCs w:val="20"/>
          <w:lang w:val="ka-GE"/>
        </w:rPr>
        <w:t>სავაჭრო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ლიცენზიის მფლობელისთვის. გვერდითი ეფექტების შეტყობინებით შეგიძლიათ მეტი ინფორმაციის მოწოდება ამ მედიკამენტის უსაფრთხოების შესახებ.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 xml:space="preserve">5. როგორ ინახება ტანინალი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ინახება 25</w:t>
      </w:r>
      <w:r w:rsidRPr="00306BB9">
        <w:rPr>
          <w:rFonts w:ascii="Agency FB" w:hAnsi="Agency FB" w:cs="Agency FB"/>
          <w:sz w:val="20"/>
          <w:szCs w:val="20"/>
          <w:lang w:val="ka-GE"/>
        </w:rPr>
        <w:t>°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C-მდე ტემპერატურაზე. ინახება ბავშვებისთვის მიუწვდომელ ადგილას. მედიკამენტი არ გამოიყენოთ მუყაოს შეფუთვაზე მითითებული ვარგისობის ვადის გასვლის შემდეგ. ვარგისობის ვადა ეხება თვის ბოლო დღეს. მედიკამენტები არ გადააგდოთ </w:t>
      </w:r>
      <w:r>
        <w:rPr>
          <w:rFonts w:ascii="Sylfaen" w:hAnsi="Sylfaen" w:cs="Sylfaen"/>
          <w:sz w:val="20"/>
          <w:szCs w:val="20"/>
          <w:lang w:val="ka-GE"/>
        </w:rPr>
        <w:t>გამდინარე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წყ</w:t>
      </w:r>
      <w:r>
        <w:rPr>
          <w:rFonts w:ascii="Sylfaen" w:hAnsi="Sylfaen" w:cs="Sylfaen"/>
          <w:sz w:val="20"/>
          <w:szCs w:val="20"/>
          <w:lang w:val="ka-GE"/>
        </w:rPr>
        <w:t>ლებში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ან საყოფაცხოვრებო ნაგავ</w:t>
      </w:r>
      <w:r>
        <w:rPr>
          <w:rFonts w:ascii="Sylfaen" w:hAnsi="Sylfaen" w:cs="Sylfaen"/>
          <w:sz w:val="20"/>
          <w:szCs w:val="20"/>
          <w:lang w:val="ka-GE"/>
        </w:rPr>
        <w:t>ში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. </w:t>
      </w:r>
      <w:r>
        <w:rPr>
          <w:rFonts w:ascii="Sylfaen" w:hAnsi="Sylfaen" w:cs="Sylfaen"/>
          <w:sz w:val="20"/>
          <w:szCs w:val="20"/>
          <w:lang w:val="ka-GE"/>
        </w:rPr>
        <w:t>ჰ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კითხეთ ფარმაცევტს როგორ უნდა გადააგდოთ არასაჭირო მედიკამენტები. ეს ზომები ხელს შეუწყობს გარემოს დაცვას. 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6. შეფუთვის შემადგენლობა და სხვა ინფორმაცია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>რას შეიცავს ტანინალი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 - მედიკამენტის აქტიური ნივთიერებაა Tanninum albuminatum (ალბუმინის ტანატი) - 500 მგ ერთ ტაბლეტში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 - შემავსებლები: კარტოფილის სახამებელი, კარბოქსიმეთილსახამებლის ნატრიუმის მარილი, პოვიდონი, ტალკი 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 xml:space="preserve">ტანინალის აღწერა და შეფუთვის შემადგენლობა </w:t>
      </w:r>
    </w:p>
    <w:p w:rsidR="00264B6A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lastRenderedPageBreak/>
        <w:t>ტანინალი შედგება ბლისტერებში შეფუთული ტაბლეტებისგან, რომელბიც დამზადებულია ალუმინის/პვქ ფოლგით, თითო</w:t>
      </w:r>
      <w:r>
        <w:rPr>
          <w:rFonts w:ascii="Sylfaen" w:hAnsi="Sylfaen" w:cs="Sylfaen"/>
          <w:sz w:val="20"/>
          <w:szCs w:val="20"/>
          <w:lang w:val="ka-GE"/>
        </w:rPr>
        <w:t>ეულში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10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ტაბლეტი. შეფუთვა </w:t>
      </w:r>
      <w:r>
        <w:rPr>
          <w:rFonts w:ascii="Sylfaen" w:hAnsi="Sylfaen" w:cs="Sylfaen"/>
          <w:sz w:val="20"/>
          <w:szCs w:val="20"/>
          <w:lang w:val="ka-GE"/>
        </w:rPr>
        <w:t xml:space="preserve">წარმოდგენილია </w:t>
      </w:r>
      <w:r w:rsidRPr="00306BB9">
        <w:rPr>
          <w:rFonts w:ascii="Sylfaen" w:hAnsi="Sylfaen" w:cs="Sylfaen"/>
          <w:sz w:val="20"/>
          <w:szCs w:val="20"/>
          <w:lang w:val="ka-GE"/>
        </w:rPr>
        <w:t>მუყოას კოლოფ</w:t>
      </w:r>
      <w:r>
        <w:rPr>
          <w:rFonts w:ascii="Sylfaen" w:hAnsi="Sylfaen" w:cs="Sylfaen"/>
          <w:sz w:val="20"/>
          <w:szCs w:val="20"/>
          <w:lang w:val="ka-GE"/>
        </w:rPr>
        <w:t>ით</w:t>
      </w:r>
      <w:r w:rsidRPr="00306BB9">
        <w:rPr>
          <w:rFonts w:ascii="Sylfaen" w:hAnsi="Sylfaen" w:cs="Sylfaen"/>
          <w:sz w:val="20"/>
          <w:szCs w:val="20"/>
          <w:lang w:val="ka-GE"/>
        </w:rPr>
        <w:t>, რომელიც შეიცავს 2 ბლისტერს, თ</w:t>
      </w:r>
      <w:r>
        <w:rPr>
          <w:rFonts w:ascii="Sylfaen" w:hAnsi="Sylfaen" w:cs="Sylfaen"/>
          <w:sz w:val="20"/>
          <w:szCs w:val="20"/>
          <w:lang w:val="ka-GE"/>
        </w:rPr>
        <w:t>ი</w:t>
      </w:r>
      <w:r w:rsidRPr="00306BB9">
        <w:rPr>
          <w:rFonts w:ascii="Sylfaen" w:hAnsi="Sylfaen" w:cs="Sylfaen"/>
          <w:sz w:val="20"/>
          <w:szCs w:val="20"/>
          <w:lang w:val="ka-GE"/>
        </w:rPr>
        <w:t>თ</w:t>
      </w:r>
      <w:r>
        <w:rPr>
          <w:rFonts w:ascii="Sylfaen" w:hAnsi="Sylfaen" w:cs="Sylfaen"/>
          <w:sz w:val="20"/>
          <w:szCs w:val="20"/>
          <w:lang w:val="ka-GE"/>
        </w:rPr>
        <w:t>ოეულში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10 ტაბლეტი და პაციენტის</w:t>
      </w:r>
      <w:r>
        <w:rPr>
          <w:rFonts w:ascii="Sylfaen" w:hAnsi="Sylfaen" w:cs="Sylfaen"/>
          <w:sz w:val="20"/>
          <w:szCs w:val="20"/>
          <w:lang w:val="ka-GE"/>
        </w:rPr>
        <w:t xml:space="preserve"> საინფორმაციო ჩანართს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. </w:t>
      </w:r>
    </w:p>
    <w:p w:rsidR="00AB60C1" w:rsidRDefault="00AB60C1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AB60C1" w:rsidRPr="00034126" w:rsidRDefault="00AB60C1" w:rsidP="00AB60C1">
      <w:pPr>
        <w:spacing w:before="120" w:after="120" w:line="240" w:lineRule="auto"/>
        <w:jc w:val="both"/>
        <w:rPr>
          <w:rFonts w:ascii="Sylfaen" w:eastAsia="SimSun" w:hAnsi="Sylfaen"/>
          <w:b/>
          <w:bCs/>
          <w:lang w:val="ka-GE"/>
        </w:rPr>
      </w:pPr>
      <w:r w:rsidRPr="00034126">
        <w:rPr>
          <w:rFonts w:ascii="Sylfaen" w:eastAsia="SimSun" w:hAnsi="Sylfaen"/>
          <w:b/>
          <w:bCs/>
          <w:lang w:val="ka-GE"/>
        </w:rPr>
        <w:t>გაცემის წესი:</w:t>
      </w:r>
    </w:p>
    <w:p w:rsidR="00AB60C1" w:rsidRPr="00034126" w:rsidRDefault="00AB60C1" w:rsidP="00AB60C1">
      <w:pPr>
        <w:spacing w:before="120" w:after="120" w:line="240" w:lineRule="auto"/>
        <w:jc w:val="both"/>
        <w:rPr>
          <w:b/>
          <w:lang w:val="ka-GE"/>
        </w:rPr>
      </w:pPr>
      <w:r w:rsidRPr="00034126">
        <w:rPr>
          <w:rFonts w:ascii="Sylfaen" w:eastAsia="SimSun" w:hAnsi="Sylfaen"/>
          <w:b/>
          <w:bCs/>
          <w:lang w:val="ka-GE"/>
        </w:rPr>
        <w:t>ფ</w:t>
      </w:r>
      <w:r w:rsidRPr="00034126">
        <w:rPr>
          <w:rFonts w:ascii="Sylfaen" w:eastAsia="SimSun" w:hAnsi="Sylfaen" w:cs="Sylfaen"/>
          <w:b/>
          <w:bCs/>
          <w:lang w:val="ka-GE"/>
        </w:rPr>
        <w:t>არმაცევტული</w:t>
      </w:r>
      <w:r w:rsidRPr="00034126">
        <w:rPr>
          <w:rFonts w:ascii="AcadNusx" w:eastAsia="SimSun" w:hAnsi="AcadNusx"/>
          <w:b/>
          <w:bCs/>
          <w:lang w:val="ka-GE"/>
        </w:rPr>
        <w:t xml:space="preserve"> </w:t>
      </w:r>
      <w:r w:rsidRPr="00034126">
        <w:rPr>
          <w:rFonts w:ascii="Sylfaen" w:eastAsia="SimSun" w:hAnsi="Sylfaen" w:cs="Sylfaen"/>
          <w:b/>
          <w:bCs/>
          <w:lang w:val="ka-GE"/>
        </w:rPr>
        <w:t>პროდუქტის</w:t>
      </w:r>
      <w:r w:rsidRPr="00034126">
        <w:rPr>
          <w:rFonts w:ascii="AcadNusx" w:eastAsia="SimSun" w:hAnsi="AcadNusx"/>
          <w:b/>
          <w:bCs/>
          <w:lang w:val="ka-GE"/>
        </w:rPr>
        <w:t xml:space="preserve"> </w:t>
      </w:r>
      <w:r w:rsidRPr="00034126">
        <w:rPr>
          <w:rFonts w:ascii="Sylfaen" w:eastAsia="SimSun" w:hAnsi="Sylfaen" w:cs="Sylfaen"/>
          <w:b/>
          <w:bCs/>
          <w:lang w:val="ka-GE"/>
        </w:rPr>
        <w:t>ჯგუფი</w:t>
      </w:r>
      <w:r w:rsidRPr="00034126">
        <w:rPr>
          <w:rFonts w:ascii="AcadNusx" w:eastAsia="SimSun" w:hAnsi="AcadNusx"/>
          <w:b/>
          <w:bCs/>
          <w:lang w:val="ka-GE"/>
        </w:rPr>
        <w:t xml:space="preserve"> I</w:t>
      </w:r>
      <w:r w:rsidRPr="00034126">
        <w:rPr>
          <w:rFonts w:ascii="Sylfaen" w:eastAsia="SimSun" w:hAnsi="Sylfaen"/>
          <w:b/>
          <w:bCs/>
          <w:lang w:val="ka-GE"/>
        </w:rPr>
        <w:t>I</w:t>
      </w:r>
      <w:r w:rsidRPr="00034126">
        <w:rPr>
          <w:rFonts w:ascii="AcadNusx" w:eastAsia="SimSun" w:hAnsi="AcadNusx"/>
          <w:b/>
          <w:bCs/>
          <w:lang w:val="ka-GE"/>
        </w:rPr>
        <w:t>I</w:t>
      </w:r>
      <w:r w:rsidRPr="00034126">
        <w:rPr>
          <w:rFonts w:ascii="Sylfaen" w:eastAsia="SimSun" w:hAnsi="Sylfaen"/>
          <w:b/>
          <w:bCs/>
          <w:lang w:val="ka-GE"/>
        </w:rPr>
        <w:t>, გაიცემა რეცეპტის გარეშე.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სავაჭრო</w:t>
      </w:r>
      <w:r w:rsidRPr="00306BB9">
        <w:rPr>
          <w:rFonts w:ascii="Sylfaen" w:hAnsi="Sylfaen" w:cs="Sylfaen"/>
          <w:b/>
          <w:bCs/>
          <w:sz w:val="20"/>
          <w:szCs w:val="20"/>
          <w:lang w:val="ka-GE"/>
        </w:rPr>
        <w:t xml:space="preserve"> ლიცენზიის მფლობელი და მწარმოებელი 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Wrocławski e Zakłady .Zi elarskie "Herbapol'' S. A.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 50-951 Wrocław, ul. Sw. Mikołaja 65/68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ტელეფონი: +4871 33 57 225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ფაქსი: +48 7I 37 24740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 ელ-ფოსტა: </w:t>
      </w:r>
      <w:hyperlink r:id="rId4" w:history="1">
        <w:r w:rsidRPr="00306BB9">
          <w:rPr>
            <w:rStyle w:val="Hyperlink"/>
            <w:rFonts w:ascii="Sylfaen" w:hAnsi="Sylfaen" w:cs="Sylfaen"/>
            <w:sz w:val="20"/>
            <w:szCs w:val="20"/>
            <w:lang w:val="ka-GE"/>
          </w:rPr>
          <w:t>herbapolf@herbapol.pl</w:t>
        </w:r>
      </w:hyperlink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 xml:space="preserve">მეტი დეტალური ინფორმაციისთვის გთხოვთ მიამრთოთ </w:t>
      </w:r>
      <w:r>
        <w:rPr>
          <w:rFonts w:ascii="Sylfaen" w:hAnsi="Sylfaen" w:cs="Sylfaen"/>
          <w:sz w:val="20"/>
          <w:szCs w:val="20"/>
          <w:lang w:val="ka-GE"/>
        </w:rPr>
        <w:t>სავაჭრო</w:t>
      </w:r>
      <w:r w:rsidRPr="00306BB9">
        <w:rPr>
          <w:rFonts w:ascii="Sylfaen" w:hAnsi="Sylfaen" w:cs="Sylfaen"/>
          <w:sz w:val="20"/>
          <w:szCs w:val="20"/>
          <w:lang w:val="ka-GE"/>
        </w:rPr>
        <w:t xml:space="preserve"> ლიცენზიის მფლობელს: ტელეფონი; 7l 3Żl 86 04 ext' l23</w:t>
      </w:r>
    </w:p>
    <w:p w:rsidR="00264B6A" w:rsidRPr="00306BB9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64B6A" w:rsidRPr="006C2B84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306BB9">
        <w:rPr>
          <w:rFonts w:ascii="Sylfaen" w:hAnsi="Sylfaen" w:cs="Sylfaen"/>
          <w:sz w:val="20"/>
          <w:szCs w:val="20"/>
          <w:lang w:val="ka-GE"/>
        </w:rPr>
        <w:t>ინსტრუქციის ბოლო რევიზიის თარიღი: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</w:rPr>
        <w:t>27.11.2015</w:t>
      </w:r>
    </w:p>
    <w:p w:rsidR="00264B6A" w:rsidRPr="009F1562" w:rsidRDefault="00264B6A" w:rsidP="008C2DAD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sectPr w:rsidR="00264B6A" w:rsidRPr="009F1562" w:rsidSect="00306BB9">
      <w:pgSz w:w="12240" w:h="15840"/>
      <w:pgMar w:top="540" w:right="54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05"/>
    <w:rsid w:val="00184C0C"/>
    <w:rsid w:val="00192485"/>
    <w:rsid w:val="0019760C"/>
    <w:rsid w:val="00264B6A"/>
    <w:rsid w:val="002E57AF"/>
    <w:rsid w:val="00306BB9"/>
    <w:rsid w:val="003838A8"/>
    <w:rsid w:val="004417AD"/>
    <w:rsid w:val="004F53B2"/>
    <w:rsid w:val="006C2B84"/>
    <w:rsid w:val="00743605"/>
    <w:rsid w:val="008C2DAD"/>
    <w:rsid w:val="008F74FF"/>
    <w:rsid w:val="009B6618"/>
    <w:rsid w:val="009F1562"/>
    <w:rsid w:val="00A050B0"/>
    <w:rsid w:val="00AB54A8"/>
    <w:rsid w:val="00AB60C1"/>
    <w:rsid w:val="00B26C3C"/>
    <w:rsid w:val="00C4553F"/>
    <w:rsid w:val="00D10F3F"/>
    <w:rsid w:val="00D94ADE"/>
    <w:rsid w:val="00DB2D76"/>
    <w:rsid w:val="00E64B98"/>
    <w:rsid w:val="00F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13B5D5-3792-4C3B-AD41-F1CA818B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05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rbapolf@herbapo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 da</dc:creator>
  <cp:keywords/>
  <dc:description/>
  <cp:lastModifiedBy>Sandro</cp:lastModifiedBy>
  <cp:revision>2</cp:revision>
  <cp:lastPrinted>2020-10-11T11:28:00Z</cp:lastPrinted>
  <dcterms:created xsi:type="dcterms:W3CDTF">2021-04-02T09:10:00Z</dcterms:created>
  <dcterms:modified xsi:type="dcterms:W3CDTF">2021-04-02T09:10:00Z</dcterms:modified>
</cp:coreProperties>
</file>