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0E" w:rsidRDefault="0075310E" w:rsidP="00354425">
      <w:pPr>
        <w:spacing w:after="0" w:line="240" w:lineRule="auto"/>
        <w:jc w:val="center"/>
        <w:rPr>
          <w:rFonts w:ascii="Sylfaen" w:hAnsi="Sylfaen" w:cs="Sylfaen"/>
          <w:b/>
          <w:bCs/>
          <w:sz w:val="24"/>
          <w:szCs w:val="24"/>
          <w:lang w:val="ka-GE"/>
        </w:rPr>
      </w:pPr>
      <w:bookmarkStart w:id="0" w:name="_GoBack"/>
      <w:bookmarkEnd w:id="0"/>
      <w:r>
        <w:rPr>
          <w:rFonts w:ascii="Sylfaen" w:hAnsi="Sylfaen" w:cs="Sylfaen"/>
          <w:b/>
          <w:bCs/>
          <w:sz w:val="24"/>
          <w:szCs w:val="24"/>
          <w:lang w:val="ka-GE"/>
        </w:rPr>
        <w:t>სარეკომენდაციო ვერსია</w:t>
      </w:r>
    </w:p>
    <w:p w:rsidR="0075310E" w:rsidRPr="0075310E" w:rsidRDefault="0075310E" w:rsidP="00354425">
      <w:pPr>
        <w:spacing w:after="0" w:line="240" w:lineRule="auto"/>
        <w:jc w:val="center"/>
        <w:rPr>
          <w:rFonts w:ascii="Sylfaen" w:hAnsi="Sylfaen" w:cs="Sylfaen"/>
          <w:b/>
          <w:bCs/>
          <w:sz w:val="24"/>
          <w:szCs w:val="24"/>
          <w:lang w:val="ka-GE"/>
        </w:rPr>
      </w:pPr>
    </w:p>
    <w:p w:rsidR="006F64C6" w:rsidRPr="0075310E" w:rsidRDefault="006F64C6" w:rsidP="00354425">
      <w:pPr>
        <w:spacing w:after="0" w:line="240" w:lineRule="auto"/>
        <w:jc w:val="center"/>
        <w:rPr>
          <w:rFonts w:ascii="Sylfaen" w:hAnsi="Sylfaen" w:cs="Sylfaen"/>
          <w:b/>
          <w:bCs/>
          <w:sz w:val="24"/>
          <w:szCs w:val="24"/>
          <w:lang w:val="ka-GE"/>
        </w:rPr>
      </w:pPr>
      <w:r w:rsidRPr="0075310E">
        <w:rPr>
          <w:rFonts w:ascii="Sylfaen" w:hAnsi="Sylfaen" w:cs="Sylfaen"/>
          <w:b/>
          <w:bCs/>
          <w:sz w:val="24"/>
          <w:szCs w:val="24"/>
          <w:lang w:val="ka-GE"/>
        </w:rPr>
        <w:t>ფურცელი-ჩანართი: ინფორმაცია პაციენტისთვის</w:t>
      </w:r>
    </w:p>
    <w:p w:rsidR="006F64C6" w:rsidRDefault="006F64C6" w:rsidP="00354425">
      <w:pPr>
        <w:spacing w:after="0" w:line="240" w:lineRule="auto"/>
        <w:jc w:val="center"/>
        <w:rPr>
          <w:rFonts w:ascii="Sylfaen" w:hAnsi="Sylfaen" w:cs="Sylfaen"/>
          <w:b/>
          <w:bCs/>
          <w:sz w:val="24"/>
          <w:szCs w:val="24"/>
        </w:rPr>
      </w:pPr>
      <w:r w:rsidRPr="0075310E">
        <w:rPr>
          <w:rFonts w:ascii="Sylfaen" w:hAnsi="Sylfaen" w:cs="Sylfaen"/>
          <w:b/>
          <w:bCs/>
          <w:sz w:val="24"/>
          <w:szCs w:val="24"/>
          <w:lang w:val="ka-GE"/>
        </w:rPr>
        <w:t>პლუსკარდი, 100მგ+40მგ ტაბლეტები</w:t>
      </w:r>
    </w:p>
    <w:p w:rsidR="0075310E" w:rsidRPr="0075310E" w:rsidRDefault="0075310E" w:rsidP="00354425">
      <w:pPr>
        <w:spacing w:after="0" w:line="240" w:lineRule="auto"/>
        <w:jc w:val="center"/>
        <w:rPr>
          <w:rFonts w:ascii="Sylfaen" w:hAnsi="Sylfaen" w:cs="Sylfaen"/>
          <w:b/>
          <w:bCs/>
          <w:sz w:val="24"/>
          <w:szCs w:val="24"/>
        </w:rPr>
      </w:pPr>
      <w:proofErr w:type="spellStart"/>
      <w:r>
        <w:rPr>
          <w:rFonts w:ascii="Sylfaen" w:hAnsi="Sylfaen" w:cs="Sylfaen"/>
          <w:b/>
          <w:bCs/>
          <w:sz w:val="24"/>
          <w:szCs w:val="24"/>
        </w:rPr>
        <w:t>Pluscard</w:t>
      </w:r>
      <w:proofErr w:type="spellEnd"/>
    </w:p>
    <w:p w:rsidR="006F64C6" w:rsidRPr="0075310E" w:rsidRDefault="006F64C6" w:rsidP="00354425">
      <w:pPr>
        <w:spacing w:after="0" w:line="240" w:lineRule="auto"/>
        <w:jc w:val="center"/>
        <w:rPr>
          <w:rFonts w:ascii="Sylfaen" w:hAnsi="Sylfaen" w:cs="Sylfaen"/>
          <w:sz w:val="24"/>
          <w:szCs w:val="24"/>
        </w:rPr>
      </w:pPr>
      <w:r w:rsidRPr="0075310E">
        <w:rPr>
          <w:rFonts w:ascii="Sylfaen" w:hAnsi="Sylfaen" w:cs="Sylfaen"/>
          <w:b/>
          <w:bCs/>
          <w:sz w:val="24"/>
          <w:szCs w:val="24"/>
          <w:lang w:val="ka-GE"/>
        </w:rPr>
        <w:t>(</w:t>
      </w:r>
      <w:proofErr w:type="spellStart"/>
      <w:r w:rsidRPr="0075310E">
        <w:rPr>
          <w:rFonts w:ascii="Sylfaen" w:hAnsi="Sylfaen" w:cs="Sylfaen"/>
          <w:sz w:val="24"/>
          <w:szCs w:val="24"/>
        </w:rPr>
        <w:t>Acidum</w:t>
      </w:r>
      <w:proofErr w:type="spellEnd"/>
      <w:r w:rsidRPr="0075310E">
        <w:rPr>
          <w:rFonts w:ascii="Sylfaen" w:hAnsi="Sylfaen" w:cs="Sylfaen"/>
          <w:sz w:val="24"/>
          <w:szCs w:val="24"/>
        </w:rPr>
        <w:t xml:space="preserve"> </w:t>
      </w:r>
      <w:proofErr w:type="spellStart"/>
      <w:r w:rsidRPr="0075310E">
        <w:rPr>
          <w:rFonts w:ascii="Sylfaen" w:hAnsi="Sylfaen" w:cs="Sylfaen"/>
          <w:sz w:val="24"/>
          <w:szCs w:val="24"/>
        </w:rPr>
        <w:t>acetylsalicylicum</w:t>
      </w:r>
      <w:proofErr w:type="spellEnd"/>
      <w:r w:rsidRPr="0075310E">
        <w:rPr>
          <w:rFonts w:ascii="Sylfaen" w:hAnsi="Sylfaen" w:cs="Sylfaen"/>
          <w:sz w:val="24"/>
          <w:szCs w:val="24"/>
          <w:lang w:val="ka-GE"/>
        </w:rPr>
        <w:t>+</w:t>
      </w:r>
      <w:r w:rsidRPr="0075310E">
        <w:rPr>
          <w:rFonts w:ascii="Sylfaen" w:hAnsi="Sylfaen" w:cs="Sylfaen"/>
          <w:sz w:val="24"/>
          <w:szCs w:val="24"/>
        </w:rPr>
        <w:t xml:space="preserve"> </w:t>
      </w:r>
      <w:proofErr w:type="spellStart"/>
      <w:r w:rsidRPr="0075310E">
        <w:rPr>
          <w:rFonts w:ascii="Sylfaen" w:hAnsi="Sylfaen" w:cs="Sylfaen"/>
          <w:sz w:val="24"/>
          <w:szCs w:val="24"/>
        </w:rPr>
        <w:t>Glycinum</w:t>
      </w:r>
      <w:proofErr w:type="spellEnd"/>
      <w:r w:rsidRPr="0075310E">
        <w:rPr>
          <w:rFonts w:ascii="Sylfaen" w:hAnsi="Sylfaen" w:cs="Sylfaen"/>
          <w:sz w:val="24"/>
          <w:szCs w:val="24"/>
          <w:lang w:val="ka-GE"/>
        </w:rPr>
        <w:t>)</w:t>
      </w:r>
    </w:p>
    <w:p w:rsidR="006F64C6" w:rsidRPr="0075310E" w:rsidRDefault="006F64C6" w:rsidP="00354425">
      <w:pPr>
        <w:spacing w:after="0" w:line="240" w:lineRule="auto"/>
        <w:jc w:val="center"/>
        <w:rPr>
          <w:rFonts w:ascii="Sylfaen" w:hAnsi="Sylfaen" w:cs="Sylfaen"/>
          <w:sz w:val="24"/>
          <w:szCs w:val="24"/>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 xml:space="preserve">მედიკამენტის მიღების დაწყებამდე ყურადღებით წაიკითხეთ ინსტრუქცია სრულად, რადგან ის შეიცავს თქვენთვის მნიშვნელოვან ინფორმაციას.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მედიკამენტი ყოველთვის მიიღეთ ისე როგორც მიტიტებულია ჩანართში ან ექიმის ან ფარმაცევტის დანიშნულებით.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 შეინახეთ ეს ჩანართი, შეიძლება დაგჭირდეთ მისი ხელახლა წაკითხვა.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-დამატებით ინფორმაციის ან რჩევისთვის მიმართეთ ფარმცევტს.</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-გვერდითი ეფექტების შემთხვევაში მიმართეთ ექიმს ან ფარმაცევტს. ეს ეხება იმ შესაძლო გვერდით მოვლენებსაც, რომლებიც ჩამოთვლილი არ არის ჩანართში. იხ. პარაგრაფი 4</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-თუ გაუმჯობესებას არ გრძნობთ ან მდგომარეობა უარესდება უნდა მიმართოთ ექიმს.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ამ ჩანართში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1.რა არის პლუსკარდი და რისთვის გამოიყენება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2.რა უნდა იცოდეთ პლუსკარდის გამოყენების დაწყებამდე</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3.როგორ მიიღება პლუსკარდი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4.შესაძლო გვერდითი ეფექტები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5.როგორ ინახება პლუსკარდი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6.შეფუთვის შემადგენლობა და დამატებით სხვა ინფორმაცია</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1.რა არის პლუსკარდი და რისთვის გამოიყენება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პლუსკარდი შეიცავს ორ აქტიურ ნივთიერებას: აცეტილსალიცილის მჟავას და გლიცინს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აცეტილსალიცილის მჟავა აინჰიბირებს თრომბოციტების აგლომერაციას, გლიცინი იცავს კუჭ-ნაწლავის ტრაქტს აცეტილსალიცილის მჟავას გამაღიზიანებელი ეფექტებისგან.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კლინიკურ კვლევებში აცეტილსალიცილის მჟავას მცირე დოზები (50-325მგ) ეფექტურად აინჰიბირებს თრომბოციტების აგრეგაციას, მნიშვნელოვან როლს თამაშობს სისხლძარღვებში თრომბის ფორმირების პრევენციაში.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მედიკამენტის მეორე აქტიური ნივთიერება გლიცინი ზრდის აცეტილსალიცილის მჟავას ხსნადობას და  აადვილებს მის აბსორბციას. </w:t>
      </w:r>
    </w:p>
    <w:p w:rsidR="006F64C6" w:rsidRPr="0075310E" w:rsidRDefault="006F64C6" w:rsidP="00354425">
      <w:pPr>
        <w:spacing w:after="0" w:line="240" w:lineRule="auto"/>
        <w:jc w:val="both"/>
        <w:rPr>
          <w:rFonts w:ascii="Sylfaen" w:hAnsi="Sylfaen" w:cs="Sylfaen"/>
          <w:b/>
          <w:bCs/>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პლუსკარდი გამოიყენება შემდეგ შემთხვევებში: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-მიოკარდიმის ინფარქტის პრევენციისთვის,  კარდიოვასკულური დაავადების მქონე პირებისთვის.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-თრომბოემბოლიური გართულებების პრევენციისთვის მიოკარდიუმის ინფარქტის, ცერებრული ინსულტის, კორონარული არტერიების პროცედურების, გულის ანგინის დროს.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-ბოლო პერიოდში გადატანილი მიოკარდიუმის ინფარქტის ან საეჭვო მიოკარდიუმის ინფარქტის დროს</w:t>
      </w:r>
    </w:p>
    <w:p w:rsidR="006F64C6" w:rsidRPr="0075310E" w:rsidRDefault="006F64C6" w:rsidP="00354425">
      <w:pPr>
        <w:spacing w:after="0" w:line="240" w:lineRule="auto"/>
        <w:jc w:val="both"/>
        <w:rPr>
          <w:rFonts w:ascii="Sylfaen" w:hAnsi="Sylfaen" w:cs="Sylfaen"/>
          <w:b/>
          <w:bCs/>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2.რა უნდა იცოდეთ პლუსკარდის გამოყენების დაწყებამდე</w:t>
      </w: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 xml:space="preserve">არ მიიღოთ პლუსკარდი: </w:t>
      </w:r>
    </w:p>
    <w:p w:rsidR="006F64C6" w:rsidRPr="0075310E" w:rsidRDefault="006F64C6" w:rsidP="00354425">
      <w:pPr>
        <w:spacing w:after="0" w:line="240" w:lineRule="auto"/>
        <w:jc w:val="both"/>
        <w:rPr>
          <w:rFonts w:ascii="Sylfaen" w:hAnsi="Sylfaen" w:cs="Sylfaen"/>
          <w:sz w:val="24"/>
          <w:szCs w:val="24"/>
        </w:rPr>
      </w:pPr>
      <w:r w:rsidRPr="0075310E">
        <w:rPr>
          <w:rFonts w:ascii="Sylfaen" w:hAnsi="Sylfaen" w:cs="Sylfaen"/>
          <w:sz w:val="24"/>
          <w:szCs w:val="24"/>
          <w:lang w:val="ka-GE"/>
        </w:rPr>
        <w:t xml:space="preserve">-თუ გაქვთ ალერგია აცეტილსალიცილის მჟავას, გლიცინის მედიკამენტის რომელიმე ინგრედიენტის მიმართ (იხ. პარაგრაფი 6). </w:t>
      </w:r>
    </w:p>
    <w:p w:rsidR="006F64C6" w:rsidRPr="0075310E" w:rsidRDefault="006F64C6" w:rsidP="00354425">
      <w:pPr>
        <w:spacing w:after="0" w:line="240" w:lineRule="auto"/>
        <w:jc w:val="both"/>
        <w:rPr>
          <w:rFonts w:ascii="Sylfaen" w:hAnsi="Sylfaen" w:cs="Sylfaen"/>
          <w:sz w:val="24"/>
          <w:szCs w:val="24"/>
        </w:rPr>
      </w:pPr>
      <w:r w:rsidRPr="0075310E">
        <w:rPr>
          <w:rFonts w:ascii="Sylfaen" w:hAnsi="Sylfaen" w:cs="Sylfaen"/>
          <w:sz w:val="24"/>
          <w:szCs w:val="24"/>
          <w:lang w:val="ka-GE"/>
        </w:rPr>
        <w:t xml:space="preserve">- მომატებული მგრძნობელობა სალიცილატების მიმართ. </w:t>
      </w:r>
    </w:p>
    <w:p w:rsidR="006F64C6" w:rsidRPr="0075310E" w:rsidRDefault="006F64C6" w:rsidP="00354425">
      <w:pPr>
        <w:spacing w:after="0" w:line="240" w:lineRule="auto"/>
        <w:jc w:val="both"/>
        <w:rPr>
          <w:rFonts w:ascii="Sylfaen" w:hAnsi="Sylfaen" w:cs="Sylfaen"/>
          <w:sz w:val="24"/>
          <w:szCs w:val="24"/>
        </w:rPr>
      </w:pPr>
      <w:r w:rsidRPr="0075310E">
        <w:rPr>
          <w:rFonts w:ascii="Sylfaen" w:hAnsi="Sylfaen" w:cs="Sylfaen"/>
          <w:sz w:val="24"/>
          <w:szCs w:val="24"/>
          <w:lang w:val="ka-GE"/>
        </w:rPr>
        <w:lastRenderedPageBreak/>
        <w:t xml:space="preserve">-სენსიტიზაცია სხვა ანთების საწინააღმდეგო არასტეროიდული პრეპარატის (აასს) მიმართ: მაგ., ასპირინით გამოწვეული ასთმა, თივის ცხელება,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rPr>
        <w:t>-</w:t>
      </w:r>
      <w:r w:rsidRPr="0075310E">
        <w:rPr>
          <w:rFonts w:ascii="Sylfaen" w:hAnsi="Sylfaen" w:cs="Sylfaen"/>
          <w:sz w:val="24"/>
          <w:szCs w:val="24"/>
          <w:lang w:val="ka-GE"/>
        </w:rPr>
        <w:t>თუ გაქვთ კუჭის და თორმეტგოჯა ნაწლავის აქტიური წყლულოვანი დაავადება: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-თუ პაციენტს აქვს სისხლდენისადმი მომატებული მიდრეკილება და სისხლის შედედების დარღვევები (მაგ. ჰემოფილია, თრომბოციტოპენია) და თუ პაციენტი იღებს ანტიკოაგულანტებს (მაგ. კუმარინის წარმოებულები, ჰეპარინი);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-თუ პაციენტს აქვს პოდაგრა;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-თუ პაციენტს აქვს ღვიძლის თირკმლის ან გულის მწვავე უკამრისობა;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 თუ პაციენტს აქვს გლუკოზო-6-ფოსფატდეჰიდროგენაზას დეფიციტი (წითელი უჯრედების გენეტიკური დაავადება) რადგან აცეტილსალიცილის მჟავას მიღებამ შეიძება გამოიწვიოს წითელი უჯრედების ჰემოლიზური დაშლა და ჰემოლიზური ანემია წითელი უჯრედების ჭარბი დეგრადაციის შედეგად;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-თუ პაციენტი იმყოფება ორსულობის მესამე ტრიმესტრში  (ორსულობის ბოლო სამი თვე).</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 რეიეს სინდრომის რისკის გამო, აცეტილსალიცილის მჟავა არ უნდა გამოიყენონ 16 წლამდე ასაკის ბავშვებში.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გაფრთილებები და უსაფრთხოების ზომები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პლუსკარდის მიღებამდე მიმართეთ ექიმს ან ფარმაცევტს</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-თუ თქვენ აღნიშნავთ გახანგრძლივებულ შუილს ან ტინიტუსს ან თავის ტკივილს, რადგანაც ისინი შეიძლება მიუთითებდეს დოზის გადაჭარბებაზე, ხანგრძლივი პერიოდის განმავლობაში გამოყენებისას, განსაკუთრებით ხანდაზმულებში.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-პრეპარატი უნდა მოიხსნას დაგეგმილ ოპერაციამდე 5-7 დღით ადრე, სისხლდენის დროის გახანგრძლივების რისკის გამო ოპერაციის დროს და მის შემდეგ.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-თუ გაქვთ საშვილოსნოდან სისხლდენა, ჭარბი მენსტრუალური სისხლდენა, იყენებთ საშვილოსნოსშიდა კონტრაცეპტივს.</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-თუ წარსულში გქონდათ კუჭის ან თორმეტგოჯა ნაწლავის წყლულოვანი დაავადება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მიმართეთ ექიმს თუ ეს გაფრთხილებები გეხებოდათ წარსულში.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 xml:space="preserve">ამ პრეპარატის გამოყენების დროს  პაციენტების გარკვეულ ჯგუფებში საჭიროა სპეციალური ზომები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u w:val="single"/>
          <w:lang w:val="ka-GE"/>
        </w:rPr>
      </w:pPr>
      <w:r w:rsidRPr="0075310E">
        <w:rPr>
          <w:rFonts w:ascii="Sylfaen" w:hAnsi="Sylfaen" w:cs="Sylfaen"/>
          <w:sz w:val="24"/>
          <w:szCs w:val="24"/>
          <w:u w:val="single"/>
          <w:lang w:val="ka-GE"/>
        </w:rPr>
        <w:t>ბავშვები და მოზარდები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რეიეს სინდრომის რისკის გამო (დაავადება რომელსაც ახლავს მრავალი ორგანოს, ძირითადად ტვინის და ღვიძლის დაზიანება) აცეტილსალიცილის მჟავა არ უნდა გამოიყენონ 16 წლამდე ასაკის ბავშვებში.</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u w:val="single"/>
          <w:lang w:val="ka-GE"/>
        </w:rPr>
      </w:pPr>
      <w:r w:rsidRPr="0075310E">
        <w:rPr>
          <w:rFonts w:ascii="Sylfaen" w:hAnsi="Sylfaen" w:cs="Sylfaen"/>
          <w:sz w:val="24"/>
          <w:szCs w:val="24"/>
          <w:u w:val="single"/>
          <w:lang w:val="ka-GE"/>
        </w:rPr>
        <w:t>პაციენტები თირკმლის და/ან ღვიძლის დარღვევებით</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სიფრთხილით გამოიყენეთ თირკმლის და/ან ღვიძლის უკმარისობით დაავადებულ პაციენტებში.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u w:val="single"/>
        </w:rPr>
      </w:pPr>
      <w:r w:rsidRPr="0075310E">
        <w:rPr>
          <w:rFonts w:ascii="Sylfaen" w:hAnsi="Sylfaen" w:cs="Sylfaen"/>
          <w:sz w:val="24"/>
          <w:szCs w:val="24"/>
          <w:u w:val="single"/>
          <w:lang w:val="ka-GE"/>
        </w:rPr>
        <w:t>ხანდაზმული პაციენტები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-ხანდაზმულმა პაციენტება (65 წელზე უფროსი ასაკის) განსაკუთრებით ფრთხილად უნდა დაიცვან ექიმის რჩევები. გვერდითი ეფექტების მომატებული რისკის გამო, ამ შემთხვევაში მედიკამენტი უნდა მიიღონ უფრო მცირე დოზით და გახანგრძლივებული ინტერვალით.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სხვა მედიკამენტები და პლუსკარდი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აცნობეთ ექიმს ან ფარმაცევტს თუ  იღებთ, ბოლო პერიოდში მიღებული გაქვთ ან აპირებთ რაიმე მედიკამენტის მიღებას.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lastRenderedPageBreak/>
        <w:t xml:space="preserve">მიმართეთ ექიმს თუ იღებთ რომელიმე შემდეგ მედიკამენტს: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ანგიოტენზინ-მაკონვერტირებელი ფერმენტის ინჰიბიტორები (ამფ):</w:t>
      </w:r>
      <w:r w:rsidRPr="0075310E">
        <w:rPr>
          <w:rFonts w:ascii="Sylfaen" w:hAnsi="Sylfaen" w:cs="Sylfaen"/>
          <w:sz w:val="24"/>
          <w:szCs w:val="24"/>
          <w:lang w:val="ka-GE"/>
        </w:rPr>
        <w:t xml:space="preserve"> აცეტილსალიცილის მჟავა ამცირებს მათ ანტიჰიპერეტნზიულ ეფექტს.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აცეტაზოლამიდი </w:t>
      </w:r>
      <w:r w:rsidRPr="0075310E">
        <w:rPr>
          <w:rFonts w:ascii="Sylfaen" w:hAnsi="Sylfaen" w:cs="Sylfaen"/>
          <w:sz w:val="24"/>
          <w:szCs w:val="24"/>
          <w:lang w:val="ka-GE"/>
        </w:rPr>
        <w:t xml:space="preserve">(გლაუკომის სამკურნალოდ): აცეტილსალიცილის მჟავა შეიძლება მნიშვნელოვნად ზრდიდეს  აცეტაზოლამიდის კონცენტრაციას და შესაბამისად მის ტოქსიკურობას.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ანტიკოაგულანტები </w:t>
      </w:r>
      <w:r w:rsidRPr="0075310E">
        <w:rPr>
          <w:rFonts w:ascii="Sylfaen" w:hAnsi="Sylfaen" w:cs="Sylfaen"/>
          <w:sz w:val="24"/>
          <w:szCs w:val="24"/>
          <w:lang w:val="ka-GE"/>
        </w:rPr>
        <w:t xml:space="preserve">(მაგ. ჰეპარინი, ვარფარინი): აცეტილსალიცილის მჟავას და ანტიკოაგულანტების კომბინირებული გამოყენება შეიძლება ზრდიდეს ანტითრომბოზულ ეფექტს და სისხლდენის რისკს.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აცეტილსალიცილის მჟავამ შეიძლება ჩაანაცვლოს ვარფარინი ცილებთან კავშირში, გამოიწვიოს პროთრომბინის დროის მომატება და სისხლდენის დროის გახანგრძლივება.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ვალპროის მჟავა </w:t>
      </w:r>
      <w:r w:rsidRPr="0075310E">
        <w:rPr>
          <w:rFonts w:ascii="Sylfaen" w:hAnsi="Sylfaen" w:cs="Sylfaen"/>
          <w:sz w:val="24"/>
          <w:szCs w:val="24"/>
          <w:lang w:val="ka-GE"/>
        </w:rPr>
        <w:t>(ეპილეფსიის სამკურნალოდ)</w:t>
      </w:r>
      <w:r w:rsidRPr="0075310E">
        <w:rPr>
          <w:rFonts w:ascii="Sylfaen" w:hAnsi="Sylfaen" w:cs="Sylfaen"/>
          <w:b/>
          <w:bCs/>
          <w:sz w:val="24"/>
          <w:szCs w:val="24"/>
          <w:lang w:val="ka-GE"/>
        </w:rPr>
        <w:t>:</w:t>
      </w:r>
      <w:r w:rsidRPr="0075310E">
        <w:rPr>
          <w:rFonts w:ascii="Sylfaen" w:hAnsi="Sylfaen" w:cs="Sylfaen"/>
          <w:sz w:val="24"/>
          <w:szCs w:val="24"/>
          <w:lang w:val="ka-GE"/>
        </w:rPr>
        <w:t xml:space="preserve"> აცეტილსალიცილის მჟავა ზრდის ვალპროის მჟავას ტოქსიკურობას და ვალპროის მჟავა ზრდის აცეტილსალიცილის მჟავას ანტიაგრეგაციულ ეფექტს, რაც ზრდის სისხლდენის რისკს.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დიურეტიკები (მედიკამენტები, რომლებიც ზრდიან შარდის პროდუქციას): </w:t>
      </w:r>
      <w:r w:rsidRPr="0075310E">
        <w:rPr>
          <w:rFonts w:ascii="Sylfaen" w:hAnsi="Sylfaen" w:cs="Sylfaen"/>
          <w:sz w:val="24"/>
          <w:szCs w:val="24"/>
          <w:lang w:val="ka-GE"/>
        </w:rPr>
        <w:t xml:space="preserve">აცეტილსალიცილის მჟავა შეიძლება ამცირებდეს დიურეტიკების ეფექტურობას და ზრდიდეს ფუროსემიდის ოტოტოქსიკურობას.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მეტოტრექსატი</w:t>
      </w:r>
      <w:r w:rsidRPr="0075310E">
        <w:rPr>
          <w:rFonts w:ascii="Sylfaen" w:hAnsi="Sylfaen" w:cs="Sylfaen"/>
          <w:sz w:val="24"/>
          <w:szCs w:val="24"/>
          <w:lang w:val="ka-GE"/>
        </w:rPr>
        <w:t xml:space="preserve">: (სიმსივნის და რევმატოიდული არტიტის სამკურნალო მედიკამენტი): აცეტილსალიცილის მჟავა ზრდის მეტოტრექსატის ტოქსიურ ეფექტებს ძვლის ტვინზე. პლუსკარდის და მეტოტრექსატის კვირაში ერთხელ 15მგ და მეტი დოზის ერთად გამოყენება უკუნაჩვენებია.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ანთებისსაწინააღმდეგო არასტეროიდული პრეპარატები </w:t>
      </w:r>
      <w:r w:rsidRPr="0075310E">
        <w:rPr>
          <w:rFonts w:ascii="Sylfaen" w:hAnsi="Sylfaen" w:cs="Sylfaen"/>
          <w:sz w:val="24"/>
          <w:szCs w:val="24"/>
          <w:lang w:val="ka-GE"/>
        </w:rPr>
        <w:t xml:space="preserve">(მაგალითად, იბუპროფენი) ან </w:t>
      </w:r>
      <w:r w:rsidRPr="0075310E">
        <w:rPr>
          <w:rFonts w:ascii="Sylfaen" w:hAnsi="Sylfaen" w:cs="Sylfaen"/>
          <w:b/>
          <w:bCs/>
          <w:sz w:val="24"/>
          <w:szCs w:val="24"/>
          <w:lang w:val="ka-GE"/>
        </w:rPr>
        <w:t xml:space="preserve">ანალგეტიკები </w:t>
      </w:r>
      <w:r w:rsidRPr="0075310E">
        <w:rPr>
          <w:rFonts w:ascii="Sylfaen" w:hAnsi="Sylfaen" w:cs="Sylfaen"/>
          <w:sz w:val="24"/>
          <w:szCs w:val="24"/>
          <w:lang w:val="ka-GE"/>
        </w:rPr>
        <w:t xml:space="preserve">(მაგალითად, პარაცეტამოლი): აცეტილსალიცილის მჟავას და ასეთ პრეპარატების ერთად გამოყენება რეკომენდებული არ არის, წყლულოვანი დაავადებების რისკის გაზრდის და გასტროინტესტინური სისხლდენის გამო.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სისტემური</w:t>
      </w:r>
      <w:r w:rsidRPr="0075310E">
        <w:rPr>
          <w:rFonts w:ascii="Sylfaen" w:hAnsi="Sylfaen" w:cs="Sylfaen"/>
          <w:b/>
          <w:bCs/>
          <w:sz w:val="24"/>
          <w:szCs w:val="24"/>
          <w:lang w:val="ka-GE"/>
        </w:rPr>
        <w:t xml:space="preserve"> გლუკოკორტიკოსტეროიდები </w:t>
      </w:r>
      <w:r w:rsidRPr="0075310E">
        <w:rPr>
          <w:rFonts w:ascii="Sylfaen" w:hAnsi="Sylfaen" w:cs="Sylfaen"/>
          <w:sz w:val="24"/>
          <w:szCs w:val="24"/>
          <w:lang w:val="ka-GE"/>
        </w:rPr>
        <w:t>(ეწოდებათ სტეროიდები, გამოიყენება მაგ, რევმატოიდული დაავადების დროს)</w:t>
      </w:r>
      <w:r w:rsidRPr="0075310E">
        <w:rPr>
          <w:rFonts w:ascii="Sylfaen" w:hAnsi="Sylfaen" w:cs="Sylfaen"/>
          <w:b/>
          <w:bCs/>
          <w:sz w:val="24"/>
          <w:szCs w:val="24"/>
          <w:lang w:val="ka-GE"/>
        </w:rPr>
        <w:t>:</w:t>
      </w:r>
      <w:r w:rsidRPr="0075310E">
        <w:rPr>
          <w:rFonts w:ascii="Sylfaen" w:hAnsi="Sylfaen" w:cs="Sylfaen"/>
          <w:sz w:val="24"/>
          <w:szCs w:val="24"/>
          <w:lang w:val="ka-GE"/>
        </w:rPr>
        <w:t xml:space="preserve"> ჰიდროკორტიზონის გარდა (გამოიყენება ჩანაცვლებითი თერაპიის სახით ადისონის დაავადების დროს), აცეტილსალიცილის მჟავასთან კომბინაციაში გამოყენება ზრდის წყლულოვანი დაავადების და გასტროინტესტინური სისხლდენის რისკს და ამცირებს პლაზმაში სალიცილატების კონცენტრაციას თერაპის განმავლობაში და თერაპიის შემდეგ იზრდება სალიცილატის დოზის გადაჭარბების რისკი.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ანტიდიაბეტური საშუალებები:</w:t>
      </w:r>
      <w:r w:rsidRPr="0075310E">
        <w:rPr>
          <w:rFonts w:ascii="Sylfaen" w:hAnsi="Sylfaen" w:cs="Sylfaen"/>
          <w:sz w:val="24"/>
          <w:szCs w:val="24"/>
          <w:lang w:val="ka-GE"/>
        </w:rPr>
        <w:t xml:space="preserve"> აცეტილსალიცილის მჟავა ზრდის ასეტი მედიკამენტების სისხლში შაქრის შემამციერებელ ეფექტს.  პლუსკარდი  არ უნდა გამოიყენონ სულფონილშარდოვანას წარმოებულებთან ერთად.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მედიკამენტები რომლებიც ზრდის შარდმჟავას ექსკრეციას </w:t>
      </w:r>
      <w:r w:rsidRPr="0075310E">
        <w:rPr>
          <w:rFonts w:ascii="Sylfaen" w:hAnsi="Sylfaen" w:cs="Sylfaen"/>
          <w:sz w:val="24"/>
          <w:szCs w:val="24"/>
          <w:lang w:val="ka-GE"/>
        </w:rPr>
        <w:t xml:space="preserve">(მაგ., პრობენეციდი, სულფინფირაზონი): სალიცილატები ასუსტებს იმ მედიკამენტების ეფექტს, რომლებიც ზრდის შარდმჟავას ექსკრეციას. პროდუქტი არ უნდა გამოიყენონ პოდაგრის სამკურნალო პრეპარატებთან კომბინაციაში.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დიგოქსინი </w:t>
      </w:r>
      <w:r w:rsidRPr="0075310E">
        <w:rPr>
          <w:rFonts w:ascii="Sylfaen" w:hAnsi="Sylfaen" w:cs="Sylfaen"/>
          <w:sz w:val="24"/>
          <w:szCs w:val="24"/>
          <w:lang w:val="ka-GE"/>
        </w:rPr>
        <w:t>(გულის უკმარისობის და გულის დაავადებების დროს გამოყენებული პრეპარატი)</w:t>
      </w:r>
      <w:r w:rsidRPr="0075310E">
        <w:rPr>
          <w:rFonts w:ascii="Sylfaen" w:hAnsi="Sylfaen" w:cs="Sylfaen"/>
          <w:b/>
          <w:bCs/>
          <w:sz w:val="24"/>
          <w:szCs w:val="24"/>
          <w:lang w:val="ka-GE"/>
        </w:rPr>
        <w:t>:</w:t>
      </w:r>
      <w:r w:rsidRPr="0075310E">
        <w:rPr>
          <w:rFonts w:ascii="Sylfaen" w:hAnsi="Sylfaen" w:cs="Sylfaen"/>
          <w:sz w:val="24"/>
          <w:szCs w:val="24"/>
          <w:lang w:val="ka-GE"/>
        </w:rPr>
        <w:t xml:space="preserve"> აცეტილსალიცილის მჟავა შეიძლება ზრდიდეს დიგოქსინის ეფექტს.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თრომბოლიზური პრეპარატები </w:t>
      </w:r>
      <w:r w:rsidRPr="0075310E">
        <w:rPr>
          <w:rFonts w:ascii="Sylfaen" w:hAnsi="Sylfaen" w:cs="Sylfaen"/>
          <w:sz w:val="24"/>
          <w:szCs w:val="24"/>
          <w:lang w:val="ka-GE"/>
        </w:rPr>
        <w:t>(სისხლის კოლტების საპრევენციო პრეპარატები)</w:t>
      </w:r>
      <w:r w:rsidRPr="0075310E">
        <w:rPr>
          <w:rFonts w:ascii="Sylfaen" w:hAnsi="Sylfaen" w:cs="Sylfaen"/>
          <w:b/>
          <w:bCs/>
          <w:sz w:val="24"/>
          <w:szCs w:val="24"/>
          <w:lang w:val="ka-GE"/>
        </w:rPr>
        <w:t>:</w:t>
      </w:r>
      <w:r w:rsidRPr="0075310E">
        <w:rPr>
          <w:rFonts w:ascii="Sylfaen" w:hAnsi="Sylfaen" w:cs="Sylfaen"/>
          <w:sz w:val="24"/>
          <w:szCs w:val="24"/>
          <w:lang w:val="ka-GE"/>
        </w:rPr>
        <w:t xml:space="preserve"> აცეტილსალიცილის მჟავა შეიძლება ზრდიდეს თრომბოლიზური პრეპარატების ეფექტს, როგორიცაა სტრეპტოკინაზა და ალტეპლაზა.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ალკოჰოლი:</w:t>
      </w:r>
      <w:r w:rsidRPr="0075310E">
        <w:rPr>
          <w:rFonts w:ascii="Sylfaen" w:hAnsi="Sylfaen" w:cs="Sylfaen"/>
          <w:sz w:val="24"/>
          <w:szCs w:val="24"/>
          <w:lang w:val="ka-GE"/>
        </w:rPr>
        <w:t xml:space="preserve"> ალკოჰოლი ზრდის აცეტილსალიცილის მჟავას მიერ გამოწვეული გასტროინტესტინური სისხლდენის სიხშირეს და ინტენსივობას. მკურნალობის განმავლობაში ალკოჰოლი არ მიიღოთ.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 xml:space="preserve">სპაზმოლიზური პრეპარატები </w:t>
      </w:r>
      <w:r w:rsidRPr="0075310E">
        <w:rPr>
          <w:rFonts w:ascii="Sylfaen" w:hAnsi="Sylfaen" w:cs="Sylfaen"/>
          <w:sz w:val="24"/>
          <w:szCs w:val="24"/>
          <w:lang w:val="ka-GE"/>
        </w:rPr>
        <w:t>(დიასტოლური მედიკამენტები)</w:t>
      </w:r>
      <w:r w:rsidRPr="0075310E">
        <w:rPr>
          <w:rFonts w:ascii="Sylfaen" w:hAnsi="Sylfaen" w:cs="Sylfaen"/>
          <w:b/>
          <w:bCs/>
          <w:sz w:val="24"/>
          <w:szCs w:val="24"/>
          <w:lang w:val="ka-GE"/>
        </w:rPr>
        <w:t>:</w:t>
      </w:r>
      <w:r w:rsidRPr="0075310E">
        <w:rPr>
          <w:rFonts w:ascii="Sylfaen" w:hAnsi="Sylfaen" w:cs="Sylfaen"/>
          <w:sz w:val="24"/>
          <w:szCs w:val="24"/>
          <w:lang w:val="ka-GE"/>
        </w:rPr>
        <w:t xml:space="preserve"> გლიცინი ზრდის სპაზმოლიზური მედიკამენტების (მაგ. ბაკლოფენი) აქტივობას.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მეტალის შენაერთები:</w:t>
      </w:r>
      <w:r w:rsidRPr="0075310E">
        <w:rPr>
          <w:rFonts w:ascii="Sylfaen" w:hAnsi="Sylfaen" w:cs="Sylfaen"/>
          <w:sz w:val="24"/>
          <w:szCs w:val="24"/>
          <w:lang w:val="ka-GE"/>
        </w:rPr>
        <w:t xml:space="preserve"> გლიცინი შეიძლება წარმოქმნიდეს კომპლექსებს მეტალის ნაერთებთან, აქედან გამომდინარე არ მათი გამოყენება არ უნდა მოხდეს პლუსკარდთან ერთად.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პლუსკარდის გამოყენება საკვებთან, სასმელთან და ალკოჰოლთან ერთად</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პლუსკარდი მიიღეთ ჭამის დროს ან ჭამის შემდეგ და დალიეთ 1 ჭიქა სითხე.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ალკოჰოლი ზრდის აცეტილსალიცილის მჟავით გამოწვეული გასტროინტესტინური სისხლდენის სიხშირეს და ინტენსივობას.  მკურნალობის დროს  არ მიიღოთ ალკოჰოლი.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ორსულობა და ლაქტაცია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თუ ორსულად ხართ ან ბავშვს ძუძუთი კვებავთ, ორსულობას ეჭვობთ ან გეგმავთ, მედიკამენტის მიღებამდე რჩევა კითხეთ ექიმს ან ფარმაცევტს. </w:t>
      </w: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ორსულობა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ამ მედიკამენტის მიღებამდე რჩევა კითხეთ ექიმს.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ორსულობის მესამე ტრიმესტრში მედიკამენტი არ გამოიყენოთ ექიმის განსაკუთრებული რეკომენდაციის გარეშე, რადგან აცეტილსალიცილის მჟავა შეიძლება ზრდიდეს ნაყოფის განვითრების დეფექტებს და მშობიარობის გართულებებს.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ლაქტაცია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ამ მედიკამენტის მიღებამდე მიმართეთ ექიმს. სალიცილატები მცირე რაოდენობით გამოიყოფა ლაქტატში და აქედან გამომდინარე ძძთ კვების პერიოდშ ამ პრეპარატის გამოყენებას უნდა მოერიდონ.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ავტომობილის მართვა და მექანიზმების გამოყენება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 პლუსკარდი არ მოქმედებს ტრანსპორტის მართვის ან მექანიზმების გამოყენების უნარზე. </w:t>
      </w:r>
    </w:p>
    <w:p w:rsidR="006F64C6" w:rsidRPr="0075310E" w:rsidRDefault="006F64C6" w:rsidP="00354425">
      <w:pPr>
        <w:spacing w:after="0" w:line="240" w:lineRule="auto"/>
        <w:jc w:val="both"/>
        <w:rPr>
          <w:rFonts w:ascii="Sylfaen" w:hAnsi="Sylfaen" w:cs="Sylfaen"/>
          <w:b/>
          <w:bCs/>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3.როგორ გამოიყენება პლუსკარდი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მედიკამენტი ყოველთვის მიიღეთ ექიმის ან ფარმაცევტის დანიშნულების მიხედვით. ეჭვის შემთხვევაში მიმართეთ ექიმს ან ფარმაცევტს.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პლუსკარდით მკურნალობის დაწყების და დოზირების შესახებ გადაწყვეტილებას ღებულობს ექიმი.</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რეკომენდებული დოზა</w:t>
      </w:r>
    </w:p>
    <w:p w:rsidR="006F64C6" w:rsidRPr="0075310E" w:rsidRDefault="006F64C6" w:rsidP="00E64A4E">
      <w:pPr>
        <w:numPr>
          <w:ilvl w:val="0"/>
          <w:numId w:val="4"/>
        </w:numPr>
        <w:spacing w:after="0" w:line="240" w:lineRule="auto"/>
        <w:jc w:val="both"/>
        <w:rPr>
          <w:rFonts w:ascii="Sylfaen" w:hAnsi="Sylfaen" w:cs="Sylfaen"/>
          <w:sz w:val="24"/>
          <w:szCs w:val="24"/>
          <w:u w:val="single"/>
          <w:lang w:val="ka-GE"/>
        </w:rPr>
      </w:pPr>
      <w:r w:rsidRPr="0075310E">
        <w:rPr>
          <w:rFonts w:ascii="Sylfaen" w:hAnsi="Sylfaen" w:cs="Sylfaen"/>
          <w:sz w:val="24"/>
          <w:szCs w:val="24"/>
          <w:u w:val="single"/>
          <w:lang w:val="ka-GE"/>
        </w:rPr>
        <w:t>მოზრდილები და 16 წელზე უფროსი ასაკის ახალგაზრდები:</w:t>
      </w:r>
    </w:p>
    <w:p w:rsidR="006F64C6" w:rsidRPr="0075310E" w:rsidRDefault="006F64C6" w:rsidP="00354425">
      <w:pPr>
        <w:pStyle w:val="ListParagraph"/>
        <w:numPr>
          <w:ilvl w:val="0"/>
          <w:numId w:val="1"/>
        </w:numPr>
        <w:spacing w:after="0" w:line="240" w:lineRule="auto"/>
        <w:jc w:val="both"/>
        <w:rPr>
          <w:rFonts w:ascii="Sylfaen" w:hAnsi="Sylfaen" w:cs="Sylfaen"/>
          <w:sz w:val="24"/>
          <w:szCs w:val="24"/>
          <w:lang w:val="ka-GE"/>
        </w:rPr>
      </w:pPr>
      <w:r w:rsidRPr="0075310E">
        <w:rPr>
          <w:rFonts w:ascii="Sylfaen" w:hAnsi="Sylfaen" w:cs="Sylfaen"/>
          <w:sz w:val="24"/>
          <w:szCs w:val="24"/>
          <w:lang w:val="ka-GE"/>
        </w:rPr>
        <w:t>მიოკარდიუმის ინფარქტის პრევენცია: ჩვეულებრივ 1 ტაბლეტი დღეში</w:t>
      </w:r>
    </w:p>
    <w:p w:rsidR="006F64C6" w:rsidRPr="0075310E" w:rsidRDefault="006F64C6" w:rsidP="00354425">
      <w:pPr>
        <w:pStyle w:val="ListParagraph"/>
        <w:numPr>
          <w:ilvl w:val="0"/>
          <w:numId w:val="1"/>
        </w:numPr>
        <w:spacing w:after="0" w:line="240" w:lineRule="auto"/>
        <w:jc w:val="both"/>
        <w:rPr>
          <w:rFonts w:ascii="Sylfaen" w:hAnsi="Sylfaen" w:cs="Sylfaen"/>
          <w:sz w:val="24"/>
          <w:szCs w:val="24"/>
          <w:lang w:val="ka-GE"/>
        </w:rPr>
      </w:pPr>
      <w:r w:rsidRPr="0075310E">
        <w:rPr>
          <w:rFonts w:ascii="Sylfaen" w:hAnsi="Sylfaen" w:cs="Sylfaen"/>
          <w:sz w:val="24"/>
          <w:szCs w:val="24"/>
          <w:lang w:val="ka-GE"/>
        </w:rPr>
        <w:t>თრომბოემბოლიური გართულებების პრევენცია შემდეგი მდგომარეობების შემდეგ:</w:t>
      </w:r>
    </w:p>
    <w:p w:rsidR="006F64C6" w:rsidRPr="0075310E" w:rsidRDefault="006F64C6" w:rsidP="00354425">
      <w:pPr>
        <w:pStyle w:val="ListParagraph"/>
        <w:numPr>
          <w:ilvl w:val="0"/>
          <w:numId w:val="2"/>
        </w:numPr>
        <w:spacing w:after="0" w:line="240" w:lineRule="auto"/>
        <w:jc w:val="both"/>
        <w:rPr>
          <w:rFonts w:ascii="Sylfaen" w:hAnsi="Sylfaen" w:cs="Sylfaen"/>
          <w:sz w:val="24"/>
          <w:szCs w:val="24"/>
          <w:lang w:val="ka-GE"/>
        </w:rPr>
      </w:pPr>
      <w:r w:rsidRPr="0075310E">
        <w:rPr>
          <w:rFonts w:ascii="Sylfaen" w:hAnsi="Sylfaen" w:cs="Sylfaen"/>
          <w:sz w:val="24"/>
          <w:szCs w:val="24"/>
          <w:lang w:val="ka-GE"/>
        </w:rPr>
        <w:t>მიოკარდიუმის ინფარქტი: ჩვეულებრივ 1 ტაბლეტი დღეში</w:t>
      </w:r>
    </w:p>
    <w:p w:rsidR="006F64C6" w:rsidRPr="0075310E" w:rsidRDefault="006F64C6" w:rsidP="00354425">
      <w:pPr>
        <w:pStyle w:val="ListParagraph"/>
        <w:numPr>
          <w:ilvl w:val="0"/>
          <w:numId w:val="2"/>
        </w:numPr>
        <w:spacing w:after="0" w:line="240" w:lineRule="auto"/>
        <w:jc w:val="both"/>
        <w:rPr>
          <w:rFonts w:ascii="Sylfaen" w:hAnsi="Sylfaen" w:cs="Sylfaen"/>
          <w:sz w:val="24"/>
          <w:szCs w:val="24"/>
          <w:lang w:val="ka-GE"/>
        </w:rPr>
      </w:pPr>
      <w:r w:rsidRPr="0075310E">
        <w:rPr>
          <w:rFonts w:ascii="Sylfaen" w:hAnsi="Sylfaen" w:cs="Sylfaen"/>
          <w:sz w:val="24"/>
          <w:szCs w:val="24"/>
          <w:lang w:val="ka-GE"/>
        </w:rPr>
        <w:t>ინსულტი: ჩვეულებრივ 2 ტაბლეტი დღეში</w:t>
      </w:r>
    </w:p>
    <w:p w:rsidR="006F64C6" w:rsidRPr="0075310E" w:rsidRDefault="006F64C6" w:rsidP="00354425">
      <w:pPr>
        <w:pStyle w:val="ListParagraph"/>
        <w:numPr>
          <w:ilvl w:val="0"/>
          <w:numId w:val="3"/>
        </w:numPr>
        <w:spacing w:after="0" w:line="240" w:lineRule="auto"/>
        <w:jc w:val="both"/>
        <w:rPr>
          <w:rFonts w:ascii="Sylfaen" w:hAnsi="Sylfaen" w:cs="Sylfaen"/>
          <w:sz w:val="24"/>
          <w:szCs w:val="24"/>
          <w:lang w:val="ka-GE"/>
        </w:rPr>
      </w:pPr>
      <w:r w:rsidRPr="0075310E">
        <w:rPr>
          <w:rFonts w:ascii="Sylfaen" w:hAnsi="Sylfaen" w:cs="Sylfaen"/>
          <w:sz w:val="24"/>
          <w:szCs w:val="24"/>
          <w:lang w:val="ka-GE"/>
        </w:rPr>
        <w:t>თრომბოემბოლიური გართულებების პრევენცია კორონარულ არტერიებზე ოპერაციის შემდეგ: ჩვეულებრივ 1 ტაბლეტი დღეში</w:t>
      </w:r>
    </w:p>
    <w:p w:rsidR="006F64C6" w:rsidRPr="0075310E" w:rsidRDefault="006F64C6" w:rsidP="00354425">
      <w:pPr>
        <w:pStyle w:val="ListParagraph"/>
        <w:numPr>
          <w:ilvl w:val="0"/>
          <w:numId w:val="3"/>
        </w:numPr>
        <w:spacing w:after="0" w:line="240" w:lineRule="auto"/>
        <w:jc w:val="both"/>
        <w:rPr>
          <w:rFonts w:ascii="Sylfaen" w:hAnsi="Sylfaen" w:cs="Sylfaen"/>
          <w:sz w:val="24"/>
          <w:szCs w:val="24"/>
          <w:lang w:val="ka-GE"/>
        </w:rPr>
      </w:pPr>
      <w:r w:rsidRPr="0075310E">
        <w:rPr>
          <w:rFonts w:ascii="Sylfaen" w:hAnsi="Sylfaen" w:cs="Sylfaen"/>
          <w:sz w:val="24"/>
          <w:szCs w:val="24"/>
          <w:lang w:val="ka-GE"/>
        </w:rPr>
        <w:t>გულის ანგინა: ჩვეულებრივ 1 ტაბლეტი დღეში</w:t>
      </w:r>
    </w:p>
    <w:p w:rsidR="006F64C6" w:rsidRPr="0075310E" w:rsidRDefault="006F64C6" w:rsidP="00354425">
      <w:pPr>
        <w:pStyle w:val="ListParagraph"/>
        <w:numPr>
          <w:ilvl w:val="0"/>
          <w:numId w:val="3"/>
        </w:numPr>
        <w:spacing w:after="0" w:line="240" w:lineRule="auto"/>
        <w:jc w:val="both"/>
        <w:rPr>
          <w:rFonts w:ascii="Sylfaen" w:hAnsi="Sylfaen" w:cs="Sylfaen"/>
          <w:sz w:val="24"/>
          <w:szCs w:val="24"/>
        </w:rPr>
      </w:pPr>
      <w:r w:rsidRPr="0075310E">
        <w:rPr>
          <w:rFonts w:ascii="Sylfaen" w:hAnsi="Sylfaen" w:cs="Sylfaen"/>
          <w:sz w:val="24"/>
          <w:szCs w:val="24"/>
          <w:lang w:val="ka-GE"/>
        </w:rPr>
        <w:t xml:space="preserve">ბოლო პერიოდში გადატანილი მიოკარდიუმის ინფარქტის ან საეჭვო მიოკარდიუმის ინფარქტის დროს-ერთჯერადი დოზა 3 ტაბლეტი. აბსორბციის გაძლიერებისთვის ტაბლეტები კარგად უნდა დაიღეჭოს  </w:t>
      </w:r>
    </w:p>
    <w:p w:rsidR="006F64C6" w:rsidRPr="0075310E" w:rsidRDefault="006F64C6" w:rsidP="00354425">
      <w:pPr>
        <w:spacing w:after="0" w:line="240" w:lineRule="auto"/>
        <w:ind w:left="360"/>
        <w:jc w:val="both"/>
        <w:rPr>
          <w:rFonts w:ascii="Sylfaen" w:hAnsi="Sylfaen" w:cs="Sylfaen"/>
          <w:sz w:val="24"/>
          <w:szCs w:val="24"/>
          <w:lang w:val="ka-GE"/>
        </w:rPr>
      </w:pPr>
    </w:p>
    <w:p w:rsidR="006F64C6" w:rsidRPr="0075310E" w:rsidRDefault="006F64C6" w:rsidP="00354425">
      <w:pPr>
        <w:spacing w:after="0" w:line="240" w:lineRule="auto"/>
        <w:ind w:left="360"/>
        <w:jc w:val="both"/>
        <w:rPr>
          <w:rFonts w:ascii="Sylfaen" w:hAnsi="Sylfaen" w:cs="Sylfaen"/>
          <w:sz w:val="24"/>
          <w:szCs w:val="24"/>
          <w:lang w:val="ka-GE"/>
        </w:rPr>
      </w:pPr>
      <w:r w:rsidRPr="0075310E">
        <w:rPr>
          <w:rFonts w:ascii="Sylfaen" w:hAnsi="Sylfaen" w:cs="Sylfaen"/>
          <w:sz w:val="24"/>
          <w:szCs w:val="24"/>
          <w:lang w:val="ka-GE"/>
        </w:rPr>
        <w:lastRenderedPageBreak/>
        <w:t xml:space="preserve">ტაბლეტები უნდა მიიღონ ჭამის დროს ან ჭამის შემდეგ წყალთან ერთად. </w:t>
      </w:r>
    </w:p>
    <w:p w:rsidR="006F64C6" w:rsidRPr="0075310E" w:rsidRDefault="006F64C6" w:rsidP="00354425">
      <w:pPr>
        <w:spacing w:after="0" w:line="240" w:lineRule="auto"/>
        <w:ind w:left="360"/>
        <w:jc w:val="both"/>
        <w:rPr>
          <w:rFonts w:ascii="Sylfaen" w:hAnsi="Sylfaen" w:cs="Sylfaen"/>
          <w:sz w:val="24"/>
          <w:szCs w:val="24"/>
          <w:lang w:val="ka-GE"/>
        </w:rPr>
      </w:pPr>
    </w:p>
    <w:p w:rsidR="006F64C6" w:rsidRPr="0075310E" w:rsidRDefault="006F64C6" w:rsidP="00354425">
      <w:pPr>
        <w:spacing w:after="0" w:line="240" w:lineRule="auto"/>
        <w:ind w:left="360"/>
        <w:jc w:val="both"/>
        <w:rPr>
          <w:rFonts w:ascii="Sylfaen" w:hAnsi="Sylfaen" w:cs="Sylfaen"/>
          <w:sz w:val="24"/>
          <w:szCs w:val="24"/>
          <w:lang w:val="ka-GE"/>
        </w:rPr>
      </w:pPr>
      <w:r w:rsidRPr="0075310E">
        <w:rPr>
          <w:rFonts w:ascii="Sylfaen" w:hAnsi="Sylfaen" w:cs="Sylfaen"/>
          <w:sz w:val="24"/>
          <w:szCs w:val="24"/>
          <w:lang w:val="ka-GE"/>
        </w:rPr>
        <w:t xml:space="preserve">ტაბლეტები უნდა გადაიყლაპოს მთლიანად, გარდა მითითებისა: მიოკარდიუმის ინფარქტი ან ეჭვი მიოკარდიუმის ინფარქტზე უახლოეს წარსულში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u w:val="single"/>
          <w:lang w:val="ka-GE"/>
        </w:rPr>
      </w:pPr>
      <w:r w:rsidRPr="0075310E">
        <w:rPr>
          <w:rFonts w:ascii="Sylfaen" w:hAnsi="Sylfaen" w:cs="Sylfaen"/>
          <w:sz w:val="24"/>
          <w:szCs w:val="24"/>
          <w:u w:val="single"/>
          <w:lang w:val="ka-GE"/>
        </w:rPr>
        <w:t>ხანდაზმულები: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არ არსებობს ზუსტი მონაცემები აცეტილსალიცილის მჟავას რისკი-სარგებლის შესახებ პაციენტების ამ ჯგუფში. ხანდაზმულებში რეკომენდებულია დოზის ცვლილება თირკმლის ფუნქციის მიხედვით.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u w:val="single"/>
          <w:lang w:val="ka-GE"/>
        </w:rPr>
      </w:pPr>
      <w:r w:rsidRPr="0075310E">
        <w:rPr>
          <w:rFonts w:ascii="Sylfaen" w:hAnsi="Sylfaen" w:cs="Sylfaen"/>
          <w:sz w:val="24"/>
          <w:szCs w:val="24"/>
          <w:u w:val="single"/>
          <w:lang w:val="ka-GE"/>
        </w:rPr>
        <w:t>პაციენტები თირკმლის და/ან ღვიძლის უკმარისობით:</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თირკმლის და/ან ღვიძლის მწვავე უკმარისობით დაავადებულ პაციენტებში ამ პრეპარატის გამოყენებისას საჭიროა სიფრთხილე.</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თუ მიიღეთ საჭიროზე მეტი პლუსკარდი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მედიკამენტის დოზის გადაჭარბების სიმპტომები მოიცავს: ყურებში შუილს, ტინიტუსს და თავის ტკივილს, დიარეას, მუცლის ტკივილს, კონფუზიას, თავბრუსხვევას, ძილიანობას, სუნთქვის სიხშირის მომატებას, გულისრევას, ღებინებას, კეტოზს, რესპირატორულ ბაზალურ და მეტაბოლურ აციდოზს. დამატებით, ცენტრალური ნერვული სისტემის ფუნქციების დაქვეითებამ შეიძლება გამოიწვიოს კომა. შეიძლება აგრეთვე აღნიშნოს ცირკულატორული კოლაფსი და სუნთქვის უკმარისობა. დოზის გადაჭარბების შემთხვევაში დაუყოვნებლივ მიმართეთ ექიმს, რომელიც გიმკურნალებთ აუცილებლობის შემთხვევაში (აქტივირებული ნახშირის გამოყენება, სიმპტომური თერაპია)</w:t>
      </w:r>
    </w:p>
    <w:p w:rsidR="006F64C6" w:rsidRPr="0075310E" w:rsidRDefault="006F64C6" w:rsidP="00354425">
      <w:pPr>
        <w:spacing w:after="0" w:line="240" w:lineRule="auto"/>
        <w:jc w:val="both"/>
        <w:rPr>
          <w:rFonts w:ascii="Sylfaen" w:hAnsi="Sylfaen" w:cs="Sylfaen"/>
          <w:b/>
          <w:bCs/>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თუ დაგავიწყდათ პლუსკარდის მიღება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დოზის გამოტოვების შემთხვევაში რაც შეიძლება სწრაფად უნდა მიიღოთ. თუმცა თუ უკვე მოახლოებულია შემდეგი დოზის მიღების დრო, გამოტოვებული უნდა დაივიწყოთ.</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გამოტოვებულის კომპენსაციისთვის არ მიიღოთ ორმაგი დოზა.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მედიკამენტის გამოყენების შესახებ დამატებითი კითხვების შემთხვევაში მიმართეთ ექიმს ან ფარმაცევტს.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4.შესაძლო გვერდითი ეფექტები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როგორც ყველა მედიკამენტმა ამ პრეპარატმაც შეიძება გამოიწვიოს გვერდითი ეფექტები, თუმცა ისინი ყველას არ უვითარდება.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გვერდითი ეფექტების შემთხვევაში მიმართეთ ექიმს ან უახლოეს საავადმყოფოს შემდეგ შემთხვევებში: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-თუ ვითარდება ვასკულური ედემა (კანის, კანქვეშა ქსოვილის, ლორწოვანი გარსების ან ლორწქვეშა ქსოვილის სწრაფად მზარდი შეშუპება). თავის და კისრის შეშუპებამ შეიძლება გამოიწვიოს სუნთქვის და ყლაპვის გაძნელება.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-სისხლდენა მაგ. გასტროინტესტინური ტრაქტიდან (სიმპტომები: შავი განავალი) ან ჰემორაგია. </w:t>
      </w:r>
    </w:p>
    <w:p w:rsidR="006F64C6" w:rsidRPr="0075310E" w:rsidRDefault="006F64C6" w:rsidP="00354425">
      <w:pPr>
        <w:spacing w:after="0" w:line="240" w:lineRule="auto"/>
        <w:jc w:val="both"/>
        <w:rPr>
          <w:rFonts w:ascii="Sylfaen" w:hAnsi="Sylfaen" w:cs="Sylfaen"/>
          <w:b/>
          <w:bCs/>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 xml:space="preserve">შეიძლება განვითარდეს შემდეგი გვერდითი ეფექტები: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w:t>
      </w:r>
      <w:r w:rsidRPr="0075310E">
        <w:rPr>
          <w:rFonts w:ascii="Sylfaen" w:hAnsi="Sylfaen" w:cs="Sylfaen"/>
          <w:sz w:val="24"/>
          <w:szCs w:val="24"/>
          <w:lang w:val="ka-GE"/>
        </w:rPr>
        <w:t xml:space="preserve">მუცლის ტკივილი, გულძმარვა ან საჭმლის მონელების დარღვევა. მუცლის შებერილობის შეგრძნება, გულისრევა ღებინებით ან ღებინების გარეშე,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-კუჭის ლორწოვანის დაზიანება,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lastRenderedPageBreak/>
        <w:t>-წყლულოვანი დაავადების რეციდივი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 გასტროინტესტინური სისხლდენა (შავი, კუპრისფერი განავალი), პერფორაცია.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  კუჭის წყლული ვითარდება იმ პაციენტების 15%-ში რომლებიც ხანგრძლივად იღებენ აცეტილსალიცილის მჟავას.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-ღვიძლის უჯრედების ადგილობრივი ნეკროზი, ღვიძლის გამკვრივება და გადიდება (განსაკუთრებით პაციენტებში, რომლებსაც აღენიშნებათ მოზარდთა რევმატოიდული ართრიტი, სისტემური ერითემატოზული მგლურა, რევმატული ცხელება ან ანამნეზში ღვიძლის დაავადება)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 შრატში ამინოტრანსფერაზას, ტუტე ფოსფატაზას და ბილირუბინის აქტივობის ტრანზიტორული მომატება.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-პროტეინურია, შარდში ლეიკოციტების და ერითროციტების არსებობა, თირკმლის</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 პაპილარული ნეკროზი, თირკმლის ინტერსტიციალური დაავადება.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-გულის უკმარისობა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-არტერიული ჰიპერტენზია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-ტინიტუსი (ჩვეულებრივ დოზის გადაჭარბების სიმპტომის სახით), სმენის დაკარგვა, თავბრუსხვევა.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-თრომბოციტოპენია (თრომბოციტების რაოდენობის დაქვეითება), ნემია საჭმლის მომნელებელ ტრაქტში მიკროჰემორაგიების გამო, ჰემოლიზური ანემია პაციენტებში რომლებსაც აღენიშნებათ გლუკოზო-6-ფოსფატდეჰიდროგენაზას დეფიციტი, ლეიკოპენია, აგრანულოციტოზი, ეოზინოპენია, სისხლდენის რისკის მომატება, სისხლდენის დროის გახანგრძლივება, კოაგულაციის დროის გახანგრძლივება.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-შეიძლება განვითარდეს მომატებული მგრძნობელობის რეაქციები, განსაკუთრებით ასთმით დაადავებულ პაციენტებში (სუნთქვის გაძნელება, ხველა, გულმკერდში მსხრევის შეგრძნება, თავბრუსხვევა, კანზე გამონაყარი, ანგიოედემა, ბრონქოკონსტრიქცია, შოკი).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გვერდითი ეფექტების შეტყობინება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სამედიცინო პროდუქტის ლიცენზირების შემდეგ მნიშვნელოვანია საეჭვო გვერდითი რეაქციების შეტყობინება. ეს იძლევა სამედიცინო პროდუქტის სარგებლის/რისკის მუდმივი მონიტორინგის საშუალებას. ჯანდაცვის სფეროს პროფესიონაელბს საეჭვო გვერდითი რეაქციების შეტყობინებას თხოვენ ნაციონალური შეტყობინების სისტემით;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სამედიცინო პროდუქტების, სამედიცინო აპარატურის და ბიოციდალური პროდუქტების რეგისტრაციის ოფისის სამედიცინო პროდუქტების არასასურველი ეფექტების მონიტორინგის დეპარტამენტი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ალ.ჟეროზოლიმსკიე 181C</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02-222 ვარშავა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ტელ: +48 22 49 21 301</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ფაქსი: +48 22 49 21 309</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ელ-ფოსტა: </w:t>
      </w:r>
      <w:hyperlink r:id="rId5" w:history="1">
        <w:r w:rsidRPr="0075310E">
          <w:rPr>
            <w:rStyle w:val="Hyperlink"/>
            <w:rFonts w:ascii="Sylfaen" w:hAnsi="Sylfaen" w:cs="Sylfaen"/>
            <w:sz w:val="24"/>
            <w:szCs w:val="24"/>
            <w:lang w:val="ka-GE"/>
          </w:rPr>
          <w:t>ndl@urpl.gov.pl</w:t>
        </w:r>
      </w:hyperlink>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გვერდითი ეფექტების შეტყობინება აგრეთვე შესაძლებელია პასუხისმგებელი ორგანოსთვის.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მედიკამენტების უსაფრთხოების შესახებ მეტი ინფორმაციის შეგროვება მოხდება გვერდითი რეაქციების შეტყობინებით.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5. როგორ ინახება პლუსკარდი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მედიკამენტი ინახება ბავშვებისთვის მიუწვდომელ ადგილას.</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ინახება არა უმეტეს 25</w:t>
      </w:r>
      <w:r w:rsidRPr="0075310E">
        <w:rPr>
          <w:rFonts w:ascii="Times New Roman" w:hAnsi="Times New Roman" w:cs="Times New Roman"/>
          <w:sz w:val="24"/>
          <w:szCs w:val="24"/>
          <w:lang w:val="ka-GE"/>
        </w:rPr>
        <w:t>⁰</w:t>
      </w:r>
      <w:r w:rsidRPr="0075310E">
        <w:rPr>
          <w:rFonts w:ascii="Sylfaen" w:hAnsi="Sylfaen" w:cs="Sylfaen"/>
          <w:sz w:val="24"/>
          <w:szCs w:val="24"/>
          <w:lang w:val="ka-GE"/>
        </w:rPr>
        <w:t xml:space="preserve">C ტემპერატურაზე.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მედიკამენტი არ გამოიყენოთ ვარგისობის ვადის გასვლის შემდეგ, რომელიც მითითებულია შეფუთვაზე: EXP შემდეგ. ვარგისობის ვადა ეხება თვის ბოლო დღეს.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lastRenderedPageBreak/>
        <w:t xml:space="preserve">მედიკამენტები არ გადააგდოთ გამდინარე წყლებში და საყოფაცხოვრებო ნაგავში. ჰკითხეთ ფარმაცევტს როგორ უნდა მოექცეთ არასაჭირო მედიკამენტებს. ეს ხელს შეუწყობს გარემოს დაცვას.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6. შეფუთვის შემადგენლობა და სხვა ინფორმაცია</w:t>
      </w: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რას შეიცავს პლუსკარდი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w:t>
      </w:r>
      <w:r w:rsidRPr="0075310E">
        <w:rPr>
          <w:rFonts w:ascii="Sylfaen" w:hAnsi="Sylfaen" w:cs="Sylfaen"/>
          <w:sz w:val="24"/>
          <w:szCs w:val="24"/>
          <w:lang w:val="ka-GE"/>
        </w:rPr>
        <w:t xml:space="preserve">აქტიური ნივთიერებებია აცეტილსალიცილის მჟავა და გლიცინი. ერთი ტაბლეტი შეიცავს 100მგ აცეტილსალიცილის მჟავას და 40მგ გლიცინს.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-სხვა შემავსებლები: კარტოფილის სახამებელი, ტალკი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პლუსკარდის აღწერა და შეფუთვის შემადგენლობა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მედიკამენტის ფორმაა სამკუთხედი ტაბლეტები, ორმხრივამოზნექილი, თეთრი, გრავირებული ჯვრით ერთ მხარეს და ნაზოლით მეორე მხარეს. ტაბლეტის ნაზოლი აადვილებს თქვენთვის მის გაყოფას გადაყლაპვისთვის და განკუთვნილი არ არის თანაბარ დოზებად გაყოფისთვის. </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შეფუთვა შეიცავს 15, 30, 40 ან 60 ტაბლეტს ბლისტერში, მუყაოს კოლოფში. </w:t>
      </w:r>
    </w:p>
    <w:p w:rsidR="006F64C6" w:rsidRPr="0075310E" w:rsidRDefault="006F64C6" w:rsidP="00354425">
      <w:pPr>
        <w:spacing w:after="0" w:line="240" w:lineRule="auto"/>
        <w:jc w:val="both"/>
        <w:rPr>
          <w:rFonts w:ascii="Sylfaen" w:hAnsi="Sylfaen" w:cs="Sylfaen"/>
          <w:sz w:val="24"/>
          <w:szCs w:val="24"/>
          <w:lang w:val="ka-GE"/>
        </w:rPr>
      </w:pPr>
    </w:p>
    <w:p w:rsidR="0075310E" w:rsidRPr="00491A55" w:rsidRDefault="0075310E" w:rsidP="0075310E">
      <w:pPr>
        <w:jc w:val="both"/>
        <w:rPr>
          <w:rFonts w:ascii="Sylfaen" w:eastAsia="SimSun" w:hAnsi="Sylfaen"/>
          <w:b/>
          <w:bCs/>
          <w:lang w:val="ka-GE"/>
        </w:rPr>
      </w:pPr>
      <w:r w:rsidRPr="00491A55">
        <w:rPr>
          <w:rFonts w:ascii="Sylfaen" w:eastAsia="SimSun" w:hAnsi="Sylfaen"/>
          <w:b/>
          <w:bCs/>
          <w:lang w:val="ka-GE"/>
        </w:rPr>
        <w:t>გაცემის წესი:</w:t>
      </w:r>
    </w:p>
    <w:p w:rsidR="0075310E" w:rsidRPr="002A2676" w:rsidRDefault="0075310E" w:rsidP="0075310E">
      <w:pPr>
        <w:jc w:val="both"/>
      </w:pPr>
      <w:r>
        <w:rPr>
          <w:rFonts w:ascii="Sylfaen" w:eastAsia="SimSun" w:hAnsi="Sylfaen"/>
          <w:bCs/>
          <w:lang w:val="ka-GE"/>
        </w:rPr>
        <w:t>ფ</w:t>
      </w:r>
      <w:r w:rsidRPr="00E35DD7">
        <w:rPr>
          <w:rFonts w:ascii="Sylfaen" w:eastAsia="SimSun" w:hAnsi="Sylfaen" w:cs="Sylfaen"/>
          <w:bCs/>
          <w:lang w:val="ka-GE"/>
        </w:rPr>
        <w:t>არმაცევტული</w:t>
      </w:r>
      <w:r w:rsidRPr="00E35DD7">
        <w:rPr>
          <w:rFonts w:ascii="AcadNusx" w:eastAsia="SimSun" w:hAnsi="AcadNusx"/>
          <w:bCs/>
          <w:lang w:val="ka-GE"/>
        </w:rPr>
        <w:t xml:space="preserve"> </w:t>
      </w:r>
      <w:r w:rsidRPr="00E35DD7">
        <w:rPr>
          <w:rFonts w:ascii="Sylfaen" w:eastAsia="SimSun" w:hAnsi="Sylfaen" w:cs="Sylfaen"/>
          <w:bCs/>
          <w:lang w:val="ka-GE"/>
        </w:rPr>
        <w:t>პროდუქტის</w:t>
      </w:r>
      <w:r w:rsidRPr="00E35DD7">
        <w:rPr>
          <w:rFonts w:ascii="AcadNusx" w:eastAsia="SimSun" w:hAnsi="AcadNusx"/>
          <w:bCs/>
          <w:lang w:val="ka-GE"/>
        </w:rPr>
        <w:t xml:space="preserve"> </w:t>
      </w:r>
      <w:r w:rsidRPr="00E35DD7">
        <w:rPr>
          <w:rFonts w:ascii="Sylfaen" w:eastAsia="SimSun" w:hAnsi="Sylfaen" w:cs="Sylfaen"/>
          <w:bCs/>
          <w:lang w:val="ka-GE"/>
        </w:rPr>
        <w:t>ჯგუფი</w:t>
      </w:r>
      <w:r w:rsidRPr="00E35DD7">
        <w:rPr>
          <w:rFonts w:ascii="AcadNusx" w:eastAsia="SimSun" w:hAnsi="AcadNusx"/>
          <w:bCs/>
          <w:lang w:val="ka-GE"/>
        </w:rPr>
        <w:t xml:space="preserve"> </w:t>
      </w:r>
      <w:r w:rsidRPr="007575BC">
        <w:t xml:space="preserve">III </w:t>
      </w:r>
      <w:proofErr w:type="spellStart"/>
      <w:r w:rsidRPr="007575BC">
        <w:rPr>
          <w:rFonts w:ascii="Sylfaen" w:hAnsi="Sylfaen" w:cs="Sylfaen"/>
        </w:rPr>
        <w:t>ჯგუფი</w:t>
      </w:r>
      <w:proofErr w:type="spellEnd"/>
      <w:r w:rsidRPr="007575BC">
        <w:t xml:space="preserve">, </w:t>
      </w:r>
      <w:proofErr w:type="spellStart"/>
      <w:r w:rsidRPr="007575BC">
        <w:rPr>
          <w:rFonts w:ascii="Sylfaen" w:hAnsi="Sylfaen" w:cs="Sylfaen"/>
        </w:rPr>
        <w:t>გაიცემა</w:t>
      </w:r>
      <w:proofErr w:type="spellEnd"/>
      <w:r w:rsidRPr="007575BC">
        <w:t xml:space="preserve"> </w:t>
      </w:r>
      <w:proofErr w:type="spellStart"/>
      <w:r w:rsidRPr="007575BC">
        <w:rPr>
          <w:rFonts w:ascii="Sylfaen" w:hAnsi="Sylfaen" w:cs="Sylfaen"/>
        </w:rPr>
        <w:t>რეცეპტის</w:t>
      </w:r>
      <w:proofErr w:type="spellEnd"/>
      <w:r w:rsidRPr="007575BC">
        <w:t xml:space="preserve"> </w:t>
      </w:r>
      <w:proofErr w:type="spellStart"/>
      <w:r w:rsidRPr="007575BC">
        <w:rPr>
          <w:rFonts w:ascii="Sylfaen" w:hAnsi="Sylfaen" w:cs="Sylfaen"/>
        </w:rPr>
        <w:t>გარეშე</w:t>
      </w:r>
      <w:proofErr w:type="spellEnd"/>
      <w:r w:rsidRPr="007575BC">
        <w:t xml:space="preserve"> </w:t>
      </w:r>
      <w:r w:rsidRPr="007575BC">
        <w:rPr>
          <w:rFonts w:ascii="Times New Roman" w:hAnsi="Times New Roman" w:cs="Times New Roman"/>
        </w:rPr>
        <w:t> </w:t>
      </w: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სავაჭრო ლიცენზიის მფლობელი და მწარმოებელი</w:t>
      </w:r>
    </w:p>
    <w:p w:rsidR="006F64C6" w:rsidRPr="0075310E" w:rsidRDefault="006F64C6" w:rsidP="00354425">
      <w:pPr>
        <w:spacing w:after="0" w:line="240" w:lineRule="auto"/>
        <w:jc w:val="both"/>
        <w:rPr>
          <w:rFonts w:ascii="Sylfaen" w:hAnsi="Sylfaen" w:cs="Sylfaen"/>
          <w:b/>
          <w:bCs/>
          <w:sz w:val="24"/>
          <w:szCs w:val="24"/>
          <w:lang w:val="ka-GE"/>
        </w:rPr>
      </w:pPr>
      <w:r w:rsidRPr="0075310E">
        <w:rPr>
          <w:rFonts w:ascii="Sylfaen" w:hAnsi="Sylfaen" w:cs="Sylfaen"/>
          <w:b/>
          <w:bCs/>
          <w:sz w:val="24"/>
          <w:szCs w:val="24"/>
          <w:lang w:val="ka-GE"/>
        </w:rPr>
        <w:t>სავაჭრო ლიცენზიის მფლობელი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 xml:space="preserve">აფლოფარმი ფარმაცია პოლონეთი ს.პ. ზ.ო.ო. </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პარტიზანცკას ქუჩა 133/151</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95-200 პაბიანიცე</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ტელ: (42) 22-53-100</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b/>
          <w:bCs/>
          <w:sz w:val="24"/>
          <w:szCs w:val="24"/>
          <w:lang w:val="ka-GE"/>
        </w:rPr>
        <w:t>მწარმოებელი</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მედიკოფარმა ს.ა.</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ტარნობრჟეკის ქუჩა 13</w:t>
      </w: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26-613 რადომი</w:t>
      </w:r>
    </w:p>
    <w:p w:rsidR="006F64C6" w:rsidRPr="0075310E" w:rsidRDefault="006F64C6" w:rsidP="00354425">
      <w:pPr>
        <w:spacing w:after="0" w:line="240" w:lineRule="auto"/>
        <w:jc w:val="both"/>
        <w:rPr>
          <w:rFonts w:ascii="Sylfaen" w:hAnsi="Sylfaen" w:cs="Sylfaen"/>
          <w:sz w:val="24"/>
          <w:szCs w:val="24"/>
          <w:lang w:val="ka-GE"/>
        </w:rPr>
      </w:pPr>
    </w:p>
    <w:p w:rsidR="006F64C6" w:rsidRPr="0075310E" w:rsidRDefault="006F64C6" w:rsidP="00354425">
      <w:pPr>
        <w:spacing w:after="0" w:line="240" w:lineRule="auto"/>
        <w:jc w:val="both"/>
        <w:rPr>
          <w:rFonts w:ascii="Sylfaen" w:hAnsi="Sylfaen" w:cs="Sylfaen"/>
          <w:sz w:val="24"/>
          <w:szCs w:val="24"/>
          <w:lang w:val="ka-GE"/>
        </w:rPr>
      </w:pPr>
      <w:r w:rsidRPr="0075310E">
        <w:rPr>
          <w:rFonts w:ascii="Sylfaen" w:hAnsi="Sylfaen" w:cs="Sylfaen"/>
          <w:sz w:val="24"/>
          <w:szCs w:val="24"/>
          <w:lang w:val="ka-GE"/>
        </w:rPr>
        <w:t>ჩანართის ბოლო რევიზიის თარიღი: 04.2018</w:t>
      </w:r>
    </w:p>
    <w:p w:rsidR="006F64C6" w:rsidRPr="0075310E" w:rsidRDefault="006F64C6" w:rsidP="00354425">
      <w:pPr>
        <w:spacing w:after="0" w:line="240" w:lineRule="auto"/>
        <w:jc w:val="both"/>
        <w:rPr>
          <w:rFonts w:ascii="Sylfaen" w:hAnsi="Sylfaen" w:cs="Sylfaen"/>
          <w:sz w:val="24"/>
          <w:szCs w:val="24"/>
          <w:lang w:val="ka-GE"/>
        </w:rPr>
      </w:pPr>
    </w:p>
    <w:sectPr w:rsidR="006F64C6" w:rsidRPr="0075310E" w:rsidSect="00B72B52">
      <w:pgSz w:w="12240" w:h="15840"/>
      <w:pgMar w:top="36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39C"/>
    <w:multiLevelType w:val="hybridMultilevel"/>
    <w:tmpl w:val="4F76F426"/>
    <w:lvl w:ilvl="0" w:tplc="1CE614B6">
      <w:start w:val="4"/>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0D6713A"/>
    <w:multiLevelType w:val="hybridMultilevel"/>
    <w:tmpl w:val="0F768A6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40ED004A"/>
    <w:multiLevelType w:val="hybridMultilevel"/>
    <w:tmpl w:val="75A22D6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434D171A"/>
    <w:multiLevelType w:val="hybridMultilevel"/>
    <w:tmpl w:val="F30825F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3B"/>
    <w:rsid w:val="000E102A"/>
    <w:rsid w:val="001048F9"/>
    <w:rsid w:val="001E5C68"/>
    <w:rsid w:val="001E788F"/>
    <w:rsid w:val="00212674"/>
    <w:rsid w:val="00225107"/>
    <w:rsid w:val="00287F1D"/>
    <w:rsid w:val="0031435F"/>
    <w:rsid w:val="0034201A"/>
    <w:rsid w:val="00354425"/>
    <w:rsid w:val="00382E65"/>
    <w:rsid w:val="003C6D26"/>
    <w:rsid w:val="00407F1F"/>
    <w:rsid w:val="0041102E"/>
    <w:rsid w:val="0048583B"/>
    <w:rsid w:val="005166F8"/>
    <w:rsid w:val="00576F7C"/>
    <w:rsid w:val="005864BB"/>
    <w:rsid w:val="005C7195"/>
    <w:rsid w:val="005D1D4F"/>
    <w:rsid w:val="005E5C93"/>
    <w:rsid w:val="005E79D6"/>
    <w:rsid w:val="006C0B62"/>
    <w:rsid w:val="006F64C6"/>
    <w:rsid w:val="00747C3A"/>
    <w:rsid w:val="0075310E"/>
    <w:rsid w:val="007A603D"/>
    <w:rsid w:val="007E5EF5"/>
    <w:rsid w:val="008B6EBC"/>
    <w:rsid w:val="009566BD"/>
    <w:rsid w:val="00A07C59"/>
    <w:rsid w:val="00B22DA4"/>
    <w:rsid w:val="00B72B52"/>
    <w:rsid w:val="00BE0C0B"/>
    <w:rsid w:val="00C36CE3"/>
    <w:rsid w:val="00C71E0A"/>
    <w:rsid w:val="00CA0474"/>
    <w:rsid w:val="00CA663E"/>
    <w:rsid w:val="00D75767"/>
    <w:rsid w:val="00E11626"/>
    <w:rsid w:val="00E64A4E"/>
    <w:rsid w:val="00E8709E"/>
    <w:rsid w:val="00E92927"/>
    <w:rsid w:val="00E95E65"/>
    <w:rsid w:val="00EA3F22"/>
    <w:rsid w:val="00EC5389"/>
    <w:rsid w:val="00F26894"/>
    <w:rsid w:val="00F320AC"/>
    <w:rsid w:val="00FE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BCAE80-E8F9-49F5-9304-2A0791E7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6B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583B"/>
    <w:pPr>
      <w:ind w:left="720"/>
    </w:pPr>
  </w:style>
  <w:style w:type="character" w:styleId="Hyperlink">
    <w:name w:val="Hyperlink"/>
    <w:uiPriority w:val="99"/>
    <w:rsid w:val="00586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dl@urpl.gov.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 da</dc:creator>
  <cp:keywords/>
  <dc:description/>
  <cp:lastModifiedBy>Sandro</cp:lastModifiedBy>
  <cp:revision>2</cp:revision>
  <cp:lastPrinted>2019-10-16T08:15:00Z</cp:lastPrinted>
  <dcterms:created xsi:type="dcterms:W3CDTF">2020-05-27T11:29:00Z</dcterms:created>
  <dcterms:modified xsi:type="dcterms:W3CDTF">2020-05-27T11:29:00Z</dcterms:modified>
</cp:coreProperties>
</file>