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344" w:rsidRPr="0046001E" w:rsidRDefault="0046001E">
      <w:pPr>
        <w:rPr>
          <w:rFonts w:ascii="Sylfaen" w:hAnsi="Sylfaen"/>
          <w:b/>
          <w:i/>
          <w:sz w:val="28"/>
          <w:szCs w:val="28"/>
          <w:lang w:val="en-US"/>
        </w:rPr>
      </w:pPr>
      <w:r>
        <w:rPr>
          <w:rFonts w:ascii="Sylfaen" w:hAnsi="Sylfaen"/>
          <w:b/>
          <w:i/>
          <w:sz w:val="28"/>
          <w:szCs w:val="28"/>
          <w:lang w:val="ka-GE"/>
        </w:rPr>
        <w:t>აბიტრაქსი</w:t>
      </w:r>
    </w:p>
    <w:p w:rsidR="0057771A" w:rsidRPr="00F8574A" w:rsidRDefault="0057771A">
      <w:pPr>
        <w:rPr>
          <w:rFonts w:ascii="Sylfaen" w:hAnsi="Sylfaen"/>
          <w:b/>
          <w:lang w:val="ka-GE"/>
        </w:rPr>
      </w:pPr>
      <w:r w:rsidRPr="00F8574A">
        <w:rPr>
          <w:rFonts w:ascii="Sylfaen" w:hAnsi="Sylfaen"/>
          <w:b/>
          <w:lang w:val="ka-GE"/>
        </w:rPr>
        <w:t>შემადგენლობა:</w:t>
      </w:r>
    </w:p>
    <w:p w:rsidR="003A5ABC" w:rsidRDefault="0046001E">
      <w:pPr>
        <w:rPr>
          <w:rFonts w:ascii="Sylfaen" w:hAnsi="Sylfaen"/>
          <w:lang w:val="ka-GE"/>
        </w:rPr>
      </w:pPr>
      <w:r>
        <w:rPr>
          <w:rFonts w:ascii="Sylfaen" w:hAnsi="Sylfaen"/>
          <w:lang w:val="ka-GE"/>
        </w:rPr>
        <w:t>აბიტრაქსი</w:t>
      </w:r>
      <w:r w:rsidR="0043496D">
        <w:rPr>
          <w:rFonts w:ascii="Sylfaen" w:hAnsi="Sylfaen"/>
          <w:lang w:val="ka-GE"/>
        </w:rPr>
        <w:t>-</w:t>
      </w:r>
      <w:r w:rsidR="0057771A" w:rsidRPr="00F8574A">
        <w:rPr>
          <w:rFonts w:ascii="Sylfaen" w:hAnsi="Sylfaen"/>
          <w:lang w:val="en-US"/>
        </w:rPr>
        <w:t>1</w:t>
      </w:r>
      <w:r w:rsidR="0057771A" w:rsidRPr="00F8574A">
        <w:rPr>
          <w:rFonts w:ascii="Sylfaen" w:hAnsi="Sylfaen"/>
          <w:lang w:val="ka-GE"/>
        </w:rPr>
        <w:t>გ</w:t>
      </w:r>
      <w:r w:rsidR="009B6423" w:rsidRPr="00F8574A">
        <w:rPr>
          <w:rFonts w:ascii="Sylfaen" w:hAnsi="Sylfaen"/>
          <w:lang w:val="ka-GE"/>
        </w:rPr>
        <w:t>/3.</w:t>
      </w:r>
      <w:r w:rsidR="004B2BB2" w:rsidRPr="00F8574A">
        <w:rPr>
          <w:rFonts w:ascii="Sylfaen" w:hAnsi="Sylfaen"/>
          <w:lang w:val="ka-GE"/>
        </w:rPr>
        <w:t>5</w:t>
      </w:r>
      <w:r w:rsidR="009B6423" w:rsidRPr="00F8574A">
        <w:rPr>
          <w:rFonts w:ascii="Sylfaen" w:hAnsi="Sylfaen"/>
          <w:lang w:val="ka-GE"/>
        </w:rPr>
        <w:t>მლ ფხვნილი და გამხსნელი საინექციო ხსნარის დასამზადებლად ინტრამუსკულარული გამოყენებისთვის</w:t>
      </w:r>
      <w:r w:rsidR="00C062FF">
        <w:rPr>
          <w:rFonts w:ascii="Sylfaen" w:hAnsi="Sylfaen"/>
          <w:lang w:val="ka-GE"/>
        </w:rPr>
        <w:t>.</w:t>
      </w:r>
    </w:p>
    <w:p w:rsidR="009B6423" w:rsidRPr="00F8574A" w:rsidRDefault="009B6423">
      <w:pPr>
        <w:rPr>
          <w:rFonts w:ascii="Sylfaen" w:hAnsi="Sylfaen"/>
          <w:lang w:val="ka-GE"/>
        </w:rPr>
      </w:pPr>
      <w:r w:rsidRPr="003A5ABC">
        <w:rPr>
          <w:rFonts w:ascii="Sylfaen" w:hAnsi="Sylfaen"/>
          <w:b/>
          <w:lang w:val="ka-GE"/>
        </w:rPr>
        <w:t>ფხვნილის ფლაკონი შეიცავს:</w:t>
      </w:r>
      <w:r w:rsidR="003A5ABC">
        <w:rPr>
          <w:rFonts w:ascii="Sylfaen" w:hAnsi="Sylfaen"/>
          <w:lang w:val="ka-GE"/>
        </w:rPr>
        <w:t xml:space="preserve"> </w:t>
      </w:r>
      <w:r w:rsidRPr="00F8574A">
        <w:rPr>
          <w:rFonts w:ascii="Sylfaen" w:hAnsi="Sylfaen"/>
          <w:lang w:val="ka-GE"/>
        </w:rPr>
        <w:t>აქტიური ნივთიერება:დინატრიუმ ცეფტრიაქსონი 3.5</w:t>
      </w:r>
      <w:r w:rsidRPr="00F8574A">
        <w:rPr>
          <w:rFonts w:ascii="Sylfaen" w:hAnsi="Sylfaen"/>
          <w:lang w:val="en-US"/>
        </w:rPr>
        <w:t xml:space="preserve"> H2O 1.193</w:t>
      </w:r>
      <w:r w:rsidRPr="00F8574A">
        <w:rPr>
          <w:rFonts w:ascii="Sylfaen" w:hAnsi="Sylfaen"/>
          <w:lang w:val="ka-GE"/>
        </w:rPr>
        <w:t xml:space="preserve"> გ შეესაბამება ცეფტრიაქსონს 1გ.</w:t>
      </w:r>
    </w:p>
    <w:p w:rsidR="009B6423" w:rsidRPr="00F8574A" w:rsidRDefault="009B6423">
      <w:pPr>
        <w:rPr>
          <w:rFonts w:ascii="Sylfaen" w:hAnsi="Sylfaen"/>
          <w:lang w:val="ka-GE"/>
        </w:rPr>
      </w:pPr>
      <w:r w:rsidRPr="003A5ABC">
        <w:rPr>
          <w:rFonts w:ascii="Sylfaen" w:hAnsi="Sylfaen"/>
          <w:b/>
          <w:lang w:val="ka-GE"/>
        </w:rPr>
        <w:t>გამხსნელის ფლაკონი შეიცავს</w:t>
      </w:r>
      <w:r w:rsidRPr="00F8574A">
        <w:rPr>
          <w:rFonts w:ascii="Sylfaen" w:hAnsi="Sylfaen"/>
          <w:lang w:val="ka-GE"/>
        </w:rPr>
        <w:t xml:space="preserve"> ლიდოკაინის ჰიდროქლორიდს.</w:t>
      </w:r>
    </w:p>
    <w:p w:rsidR="004B2BB2" w:rsidRPr="003A5ABC" w:rsidRDefault="004B2BB2">
      <w:pPr>
        <w:rPr>
          <w:rFonts w:ascii="Sylfaen" w:hAnsi="Sylfaen"/>
          <w:b/>
          <w:lang w:val="ka-GE"/>
        </w:rPr>
      </w:pPr>
      <w:r w:rsidRPr="003A5ABC">
        <w:rPr>
          <w:rFonts w:ascii="Sylfaen" w:hAnsi="Sylfaen"/>
          <w:b/>
          <w:lang w:val="ka-GE"/>
        </w:rPr>
        <w:t>ფარმაკოლოგიური ჯგუფი:</w:t>
      </w:r>
      <w:r w:rsidR="003A5ABC">
        <w:rPr>
          <w:rFonts w:ascii="Sylfaen" w:hAnsi="Sylfaen"/>
          <w:b/>
          <w:lang w:val="ka-GE"/>
        </w:rPr>
        <w:t xml:space="preserve"> </w:t>
      </w:r>
      <w:r w:rsidRPr="00F8574A">
        <w:rPr>
          <w:rFonts w:ascii="Sylfaen" w:hAnsi="Sylfaen"/>
          <w:lang w:val="ka-GE"/>
        </w:rPr>
        <w:t>მესამე თაობის ცეფალოსპორინების ჯგუფის ანტიბიოტიკი</w:t>
      </w:r>
      <w:r w:rsidR="005E3D9E" w:rsidRPr="00F8574A">
        <w:rPr>
          <w:rFonts w:ascii="Sylfaen" w:hAnsi="Sylfaen"/>
          <w:lang w:val="ka-GE"/>
        </w:rPr>
        <w:t>.</w:t>
      </w:r>
    </w:p>
    <w:p w:rsidR="00551891" w:rsidRPr="00D97AAC" w:rsidRDefault="00551891" w:rsidP="00551891">
      <w:pPr>
        <w:rPr>
          <w:rFonts w:ascii="Sylfaen" w:hAnsi="Sylfaen"/>
          <w:lang w:val="ka-GE"/>
        </w:rPr>
      </w:pPr>
      <w:r w:rsidRPr="00D97AAC">
        <w:rPr>
          <w:rFonts w:ascii="Sylfaen" w:hAnsi="Sylfaen"/>
          <w:b/>
          <w:bCs/>
          <w:lang w:val="ka-GE"/>
        </w:rPr>
        <w:t>ფარმაკოლოგიური თვისებები</w:t>
      </w:r>
      <w:r w:rsidRPr="00D97AAC">
        <w:rPr>
          <w:rFonts w:ascii="Sylfaen" w:hAnsi="Sylfaen"/>
          <w:lang w:val="ka-GE"/>
        </w:rPr>
        <w:t>:</w:t>
      </w:r>
      <w:r w:rsidRPr="00D97AAC">
        <w:rPr>
          <w:rFonts w:ascii="Sylfaen" w:hAnsi="Sylfaen"/>
          <w:lang w:val="ka-GE"/>
        </w:rPr>
        <w:br/>
        <w:t>ცეფტრიაქსონი წარმოადგენს ცეფალოსპორინების ჯგუფის ანტიბიოტიკს პარენტერული გამოყენებისთვის. მისი ბაქტერიციდული მოქმედება განპირობებულია მიკროორგანიზმის უჯრედის კედლის სინთეზის ინჰიბირებით. in vitro ცეფტრიაქსონი ხელს უშლის უმეტესი გრამდადებითი და გრამუარყოფითი ბაქტერიების ზრდის პროცესს. პრეპარატი მდგრადია ბეტა-ლაქტამაზების მიმართ. </w:t>
      </w:r>
      <w:r w:rsidRPr="00D97AAC">
        <w:rPr>
          <w:rFonts w:ascii="Sylfaen" w:hAnsi="Sylfaen"/>
          <w:lang w:val="ka-GE"/>
        </w:rPr>
        <w:br/>
        <w:t xml:space="preserve">ცეფტრიაქსონი აქტიურია შემდეგი მიკროორგანიზმების მიმართ: გრამდადებითი ბაქტერიები: Staphylococcus aureus, Staphylococcus epidermidis, Streptococcus  pneumoniae, Streptococcus pyogenes  (A ჯგუფის </w:t>
      </w:r>
      <w:r w:rsidRPr="00551891">
        <w:rPr>
          <w:rFonts w:ascii="Sylfaen" w:hAnsi="Sylfaen"/>
        </w:rPr>
        <w:t>β</w:t>
      </w:r>
      <w:r w:rsidRPr="00D97AAC">
        <w:rPr>
          <w:rFonts w:ascii="Sylfaen" w:hAnsi="Sylfaen"/>
          <w:lang w:val="ka-GE"/>
        </w:rPr>
        <w:t>-ჰემოლიზური სტრეპტოკოკები), Streptococcus agalactiae, Streptococcus viridans, Streptococcus bovis; (შენიშვნა: მეტიცილინ-რეზისტენტული Staphylococcus spp., ენტეროკოკების უმრავლესობა, მაგ. Enterococcus faecalis, რეზისტენტულია ცეფტრიაქსონის მიმართ); </w:t>
      </w:r>
      <w:r w:rsidRPr="00D97AAC">
        <w:rPr>
          <w:rFonts w:ascii="Sylfaen" w:hAnsi="Sylfaen"/>
          <w:lang w:val="ka-GE"/>
        </w:rPr>
        <w:br/>
        <w:t>გრამუარყოფითი ბაქტერიები: Aeromonas spp., Alcaligenes spp., Citrobacter spp., Enterobacter spp. (ზოგიერთი შტამი მდგრადია),Escherichia coli, Haemophilus ducreyi, Haemophilus influenzae, Haemophilus parainfluenzae, Klebsiella spp. (Klebsiella pneumoniae-ს ჩათვლით), Moraxella catarrhalis (ადრე Branhamella catarrhalis წოდებული), Moraxella spp., Morganella morganii, Neisseria gonorrhoeae, Neisseria meningitidis, Plesiomonas shigelloides, Proteus mirabilis, Proteus vulgaris, Providencia spp., Pseudomonas aeruginosa (ზოგიერთი შტამი მდგრადია), Salmonella spp. (Salmonella typhi-ს ჩათვლით), Serratia spp. (Serratia  marcescens-ის ჩათვლით), Shigella spp., Vibrio spp. (Vibrio cholerae-ს ჩათვლით),Yersinia spp. (Yersinia enterocolitica -ს ჩათვლით);</w:t>
      </w:r>
      <w:r w:rsidRPr="00D97AAC">
        <w:rPr>
          <w:rFonts w:ascii="Sylfaen" w:hAnsi="Sylfaen"/>
          <w:lang w:val="ka-GE"/>
        </w:rPr>
        <w:br/>
        <w:t>ანაერობული მიკროორგანიზმები: Bacteroides spp. (Bacteroides fragilis ზოგიერთი შტამის ჩათვლით),Clostridium spp. (Clostridium difficile-ს შტამების უმეტესობა რეზისტენტულია),Fusobacterium spp. (Fusobacterium  mortiferum, Fusobacterium  varium-ის გარდა), Peptococcus spp., Peptostreptococcus spp.</w:t>
      </w:r>
      <w:r w:rsidRPr="00D97AAC">
        <w:rPr>
          <w:rFonts w:ascii="Sylfaen" w:hAnsi="Sylfaen"/>
          <w:lang w:val="ka-GE"/>
        </w:rPr>
        <w:br/>
        <w:t>ცეფტრიაქსონი ხასიათდება მაღალი ანტიმიკრობული აქტივობით. იგი ხანგრძლივად ცირკულირებს ორგანიზმში, რაც საშუალებას იძლევა ცეფტრიაქსონი გამოყენებული იქნას დღეში ერთხელ, ცალკეულ შემთხვევებში – 12 სთ-ში ერთხელ.</w:t>
      </w:r>
    </w:p>
    <w:p w:rsidR="00551891" w:rsidRPr="008D4D61" w:rsidRDefault="00551891" w:rsidP="00551891">
      <w:pPr>
        <w:rPr>
          <w:rFonts w:ascii="Sylfaen" w:hAnsi="Sylfaen"/>
          <w:lang w:val="ka-GE"/>
        </w:rPr>
      </w:pPr>
      <w:r w:rsidRPr="008D4D61">
        <w:rPr>
          <w:rFonts w:ascii="Sylfaen" w:hAnsi="Sylfaen"/>
          <w:b/>
          <w:bCs/>
          <w:lang w:val="ka-GE"/>
        </w:rPr>
        <w:t>ფარმაკოკინეტიკა:</w:t>
      </w:r>
      <w:r w:rsidRPr="008D4D61">
        <w:rPr>
          <w:rFonts w:ascii="Sylfaen" w:hAnsi="Sylfaen"/>
          <w:lang w:val="ka-GE"/>
        </w:rPr>
        <w:t> </w:t>
      </w:r>
      <w:r w:rsidRPr="008D4D61">
        <w:rPr>
          <w:rFonts w:ascii="Sylfaen" w:hAnsi="Sylfaen"/>
          <w:lang w:val="ka-GE"/>
        </w:rPr>
        <w:br/>
        <w:t xml:space="preserve">ინტრამუსკულარული ინექციის შემდეგ პრეპარატის ბიოშეღწევადობა შეადგენს 100%-ს. მაქსიმალური კონცენტრაცია სისხლის პლაზმაში მიიღწევა 1 გ ცეფტრიაქსონის კუნთში ერთჯერადი შეყვანიდან 2-3 სთ-ის შემდეგ და შეადგენს დაახლოებით 81 მგ/ლ-ზე. </w:t>
      </w:r>
      <w:r w:rsidRPr="008D4D61">
        <w:rPr>
          <w:rFonts w:ascii="Sylfaen" w:hAnsi="Sylfaen"/>
          <w:lang w:val="ka-GE"/>
        </w:rPr>
        <w:lastRenderedPageBreak/>
        <w:t>ინტრავენურად შეყვანის შემდეგ ცეფტრიაქსონი სწრაფად დიფუნდირებს ქსოვილებსა და ინტერსტიციულ სითხეებში (მათ შორის ფილტვებში, გულში, სანაღვლე გზებში, ღვიძლში, ნუშისებრ ჯირკვლებში, შუა ყურში, ცხვირის ლორწოვან გარსში, ძვლოვან ქსოვილში, აგრეთვე თავ-ზურგ-ტვინის, პლევრულ და სინოვიურ სითხეებში, წინამდებარე ჯირკვლის სეკრეტში). ცეფტრიაქსონი ბაქტერიციდულ მოქმედებას მის მიმართ მგრძნობიარე მიკროორგანიზმებზე ავლენს 24 სთ-ის განმავლობაში. პრეპარატი შექცევადად უკავშირდება ალბუმინებს და ეს კავშირი მისი კონცენტრაციის უკუპროპორციულია: მაგ. როდესაც ცეფტრიაქსონის კონცენტრაცია სისხლის პლაზმაში ნაკლებია 100 მგ/ლ-ზე, მისი 95% უკავშირდება ცილებს, ხოლო კონცენტრაციის მომატებისას 300 მგ/ლ-მდე – მხოლოდ 85%. ინტერსტიციულ სითხეში ალბუმინების დაბალი შემცველობის გამო თავისუფალი ცეფტრიაქსონის კონცენტრაცია უფრო მაღალია, ვიდრე სისხლის შრატში. </w:t>
      </w:r>
      <w:r w:rsidRPr="008D4D61">
        <w:rPr>
          <w:rFonts w:ascii="Sylfaen" w:hAnsi="Sylfaen"/>
          <w:lang w:val="ka-GE"/>
        </w:rPr>
        <w:br/>
        <w:t>მენინგიტით დაავადებულ მოზრდილებში ცეფტრიაქსონის 50 მგ/კგ სხეულის მასაზე დოზით შეყვანიდან 2-24 სთ-ის შემდეგ მისი კონცენტრაცია თავ-ზურგ-ტვინის სითხეში რამდენჯერმე აღემატება მენინგიტის გამომწვევი ყველაზე გავრცელებული მიკროორგანიზმებისათვის მინიმალურ დამთრგუნველ კონცენტრაციას. </w:t>
      </w:r>
      <w:r w:rsidRPr="008D4D61">
        <w:rPr>
          <w:rFonts w:ascii="Sylfaen" w:hAnsi="Sylfaen"/>
          <w:lang w:val="ka-GE"/>
        </w:rPr>
        <w:br/>
        <w:t>ტვინის გარსების ანთების დროს ახალშობილებსა და ბავშვებში ცეფტრიაქსონი ადვილად გადის ჰემატოენცეფალურ ბარიერს. ბაქტერიული მენინგიტის შემთხვევაში ლიქვორში ხვდება პლაზმის ცეფტრიაქსონის 17%, ასეპტიკური მენინგიტის დროს კი – დაახლოებით 4%.</w:t>
      </w:r>
      <w:r w:rsidRPr="008D4D61">
        <w:rPr>
          <w:rFonts w:ascii="Sylfaen" w:hAnsi="Sylfaen"/>
          <w:lang w:val="ka-GE"/>
        </w:rPr>
        <w:br/>
        <w:t>ცეფტრიაქსონის საერთო პლაზმური კლირენსი შეადგენს 10-22 მლ/წთ-ში, თირკმლის კლირენსი - 5-12 მლ/წთ-ში. პრეპარატის 50-60% უცვლელი სახით გამოიყოფა შარდთან ერთად, ხოლო მისი 40-50% ნაღველთან ერთად გამოიყოფა ნაწლავებში, სადაც გარდაიქმნება არააქტიურ მეტაბოლიტებად. მოზრდილებში პრეპარატის ნახევარგამოყოფის პერიოდი (თ1/2) შეადგენს დაახლოებით 8 სთ-ს. </w:t>
      </w:r>
      <w:r w:rsidRPr="008D4D61">
        <w:rPr>
          <w:rFonts w:ascii="Sylfaen" w:hAnsi="Sylfaen"/>
          <w:lang w:val="ka-GE"/>
        </w:rPr>
        <w:br/>
        <w:t>ახალშობილებში შეყვანილი დოზის დაახლოებით 70% გამოიყოფა თირკმლების საშუალებით. </w:t>
      </w:r>
      <w:r w:rsidRPr="008D4D61">
        <w:rPr>
          <w:rFonts w:ascii="Sylfaen" w:hAnsi="Sylfaen"/>
          <w:lang w:val="ka-GE"/>
        </w:rPr>
        <w:br/>
        <w:t>8 დღემდე ასაკის ახალშობილებში და 75 წლის ასაკის ზემოთ პაციენტებში ნახევარგამოყოფის პერიოდი ხანგრძლივდება 2-3-ჯერ ახალგაზრდა ასაკის პაციენტებთან შედარებით. </w:t>
      </w:r>
      <w:r w:rsidRPr="008D4D61">
        <w:rPr>
          <w:rFonts w:ascii="Sylfaen" w:hAnsi="Sylfaen"/>
          <w:lang w:val="ka-GE"/>
        </w:rPr>
        <w:br/>
        <w:t>ღვიძლის ან თირკმლის უკმარისობის მქონე მოზრდილ პაციენტებში აღინიშნება მხოლოდ ნახევარგამოყოფის პერიოდის უმნიშვნელო მატება. თირკმლის ფუნქციის დარღვევის შემთხვევაში ძლიერდება ცეფტრიაქსონის გამოყოფა ნაღველთან ერთად, ხოლო ღვიძლის ფუნქციის დარღვევისას – თირკმლების საშუალებით.</w:t>
      </w:r>
    </w:p>
    <w:p w:rsidR="00071122" w:rsidRDefault="00071122">
      <w:pPr>
        <w:rPr>
          <w:rFonts w:ascii="Sylfaen" w:hAnsi="Sylfaen"/>
          <w:b/>
          <w:lang w:val="en-US"/>
        </w:rPr>
      </w:pPr>
      <w:r w:rsidRPr="00F8574A">
        <w:rPr>
          <w:rFonts w:ascii="Sylfaen" w:hAnsi="Sylfaen"/>
          <w:b/>
          <w:lang w:val="ka-GE"/>
        </w:rPr>
        <w:t>ჩვენებები:</w:t>
      </w:r>
    </w:p>
    <w:p w:rsidR="00C62EE4" w:rsidRPr="00C62EE4" w:rsidRDefault="00C62EE4" w:rsidP="00C62EE4">
      <w:pPr>
        <w:shd w:val="clear" w:color="auto" w:fill="FFFFFF"/>
        <w:spacing w:before="100" w:beforeAutospacing="1" w:after="107" w:line="240" w:lineRule="auto"/>
        <w:rPr>
          <w:rFonts w:ascii="Arial" w:eastAsia="Times New Roman" w:hAnsi="Arial" w:cs="Arial"/>
          <w:b/>
          <w:color w:val="282828"/>
          <w:sz w:val="20"/>
          <w:szCs w:val="20"/>
          <w:lang w:val="en-US"/>
        </w:rPr>
      </w:pPr>
      <w:proofErr w:type="spellStart"/>
      <w:proofErr w:type="gramStart"/>
      <w:r w:rsidRPr="00C62EE4">
        <w:rPr>
          <w:rFonts w:ascii="Sylfaen" w:eastAsia="Times New Roman" w:hAnsi="Sylfaen" w:cs="Sylfaen"/>
          <w:b/>
          <w:color w:val="282828"/>
          <w:sz w:val="20"/>
          <w:szCs w:val="20"/>
          <w:lang w:val="en-US"/>
        </w:rPr>
        <w:t>პრეპარატი</w:t>
      </w:r>
      <w:proofErr w:type="spellEnd"/>
      <w:proofErr w:type="gramEnd"/>
      <w:r w:rsidRPr="00C62EE4">
        <w:rPr>
          <w:rFonts w:ascii="Arial" w:eastAsia="Times New Roman" w:hAnsi="Arial" w:cs="Arial"/>
          <w:b/>
          <w:color w:val="282828"/>
          <w:sz w:val="20"/>
          <w:szCs w:val="20"/>
          <w:lang w:val="en-US"/>
        </w:rPr>
        <w:t xml:space="preserve"> </w:t>
      </w:r>
      <w:proofErr w:type="spellStart"/>
      <w:r w:rsidRPr="00C62EE4">
        <w:rPr>
          <w:rFonts w:ascii="Sylfaen" w:eastAsia="Times New Roman" w:hAnsi="Sylfaen" w:cs="Sylfaen"/>
          <w:b/>
          <w:color w:val="282828"/>
          <w:sz w:val="20"/>
          <w:szCs w:val="20"/>
          <w:lang w:val="en-US"/>
        </w:rPr>
        <w:t>გამოიყენება</w:t>
      </w:r>
      <w:proofErr w:type="spellEnd"/>
      <w:r w:rsidRPr="00C62EE4">
        <w:rPr>
          <w:rFonts w:ascii="Arial" w:eastAsia="Times New Roman" w:hAnsi="Arial" w:cs="Arial"/>
          <w:b/>
          <w:color w:val="282828"/>
          <w:sz w:val="20"/>
          <w:szCs w:val="20"/>
          <w:lang w:val="en-US"/>
        </w:rPr>
        <w:t xml:space="preserve"> </w:t>
      </w:r>
      <w:proofErr w:type="spellStart"/>
      <w:r w:rsidRPr="00C62EE4">
        <w:rPr>
          <w:rFonts w:ascii="Sylfaen" w:eastAsia="Times New Roman" w:hAnsi="Sylfaen" w:cs="Sylfaen"/>
          <w:b/>
          <w:color w:val="282828"/>
          <w:sz w:val="20"/>
          <w:szCs w:val="20"/>
          <w:lang w:val="en-US"/>
        </w:rPr>
        <w:t>მის</w:t>
      </w:r>
      <w:proofErr w:type="spellEnd"/>
      <w:r w:rsidRPr="00C62EE4">
        <w:rPr>
          <w:rFonts w:ascii="Arial" w:eastAsia="Times New Roman" w:hAnsi="Arial" w:cs="Arial"/>
          <w:b/>
          <w:color w:val="282828"/>
          <w:sz w:val="20"/>
          <w:szCs w:val="20"/>
          <w:lang w:val="en-US"/>
        </w:rPr>
        <w:t xml:space="preserve"> </w:t>
      </w:r>
      <w:proofErr w:type="spellStart"/>
      <w:r w:rsidRPr="00C62EE4">
        <w:rPr>
          <w:rFonts w:ascii="Sylfaen" w:eastAsia="Times New Roman" w:hAnsi="Sylfaen" w:cs="Sylfaen"/>
          <w:b/>
          <w:color w:val="282828"/>
          <w:sz w:val="20"/>
          <w:szCs w:val="20"/>
          <w:lang w:val="en-US"/>
        </w:rPr>
        <w:t>მიმართ</w:t>
      </w:r>
      <w:proofErr w:type="spellEnd"/>
      <w:r w:rsidRPr="00C62EE4">
        <w:rPr>
          <w:rFonts w:ascii="Arial" w:eastAsia="Times New Roman" w:hAnsi="Arial" w:cs="Arial"/>
          <w:b/>
          <w:color w:val="282828"/>
          <w:sz w:val="20"/>
          <w:szCs w:val="20"/>
          <w:lang w:val="en-US"/>
        </w:rPr>
        <w:t xml:space="preserve"> </w:t>
      </w:r>
      <w:proofErr w:type="spellStart"/>
      <w:r w:rsidRPr="00C62EE4">
        <w:rPr>
          <w:rFonts w:ascii="Sylfaen" w:eastAsia="Times New Roman" w:hAnsi="Sylfaen" w:cs="Sylfaen"/>
          <w:b/>
          <w:color w:val="282828"/>
          <w:sz w:val="20"/>
          <w:szCs w:val="20"/>
          <w:lang w:val="en-US"/>
        </w:rPr>
        <w:t>მგრძნობიარე</w:t>
      </w:r>
      <w:proofErr w:type="spellEnd"/>
      <w:r w:rsidRPr="00C62EE4">
        <w:rPr>
          <w:rFonts w:ascii="Arial" w:eastAsia="Times New Roman" w:hAnsi="Arial" w:cs="Arial"/>
          <w:b/>
          <w:color w:val="282828"/>
          <w:sz w:val="20"/>
          <w:szCs w:val="20"/>
          <w:lang w:val="en-US"/>
        </w:rPr>
        <w:t xml:space="preserve"> </w:t>
      </w:r>
      <w:proofErr w:type="spellStart"/>
      <w:r w:rsidRPr="00C62EE4">
        <w:rPr>
          <w:rFonts w:ascii="Sylfaen" w:eastAsia="Times New Roman" w:hAnsi="Sylfaen" w:cs="Sylfaen"/>
          <w:b/>
          <w:color w:val="282828"/>
          <w:sz w:val="20"/>
          <w:szCs w:val="20"/>
          <w:lang w:val="en-US"/>
        </w:rPr>
        <w:t>მიკროორგანიზმებით</w:t>
      </w:r>
      <w:proofErr w:type="spellEnd"/>
      <w:r w:rsidRPr="00C62EE4">
        <w:rPr>
          <w:rFonts w:ascii="Arial" w:eastAsia="Times New Roman" w:hAnsi="Arial" w:cs="Arial"/>
          <w:b/>
          <w:color w:val="282828"/>
          <w:sz w:val="20"/>
          <w:szCs w:val="20"/>
          <w:lang w:val="en-US"/>
        </w:rPr>
        <w:t xml:space="preserve"> </w:t>
      </w:r>
      <w:proofErr w:type="spellStart"/>
      <w:r w:rsidRPr="00C62EE4">
        <w:rPr>
          <w:rFonts w:ascii="Sylfaen" w:eastAsia="Times New Roman" w:hAnsi="Sylfaen" w:cs="Sylfaen"/>
          <w:b/>
          <w:color w:val="282828"/>
          <w:sz w:val="20"/>
          <w:szCs w:val="20"/>
          <w:lang w:val="en-US"/>
        </w:rPr>
        <w:t>გამოწვეული</w:t>
      </w:r>
      <w:proofErr w:type="spellEnd"/>
      <w:r w:rsidRPr="00C62EE4">
        <w:rPr>
          <w:rFonts w:ascii="Arial" w:eastAsia="Times New Roman" w:hAnsi="Arial" w:cs="Arial"/>
          <w:b/>
          <w:color w:val="282828"/>
          <w:sz w:val="20"/>
          <w:szCs w:val="20"/>
          <w:lang w:val="en-US"/>
        </w:rPr>
        <w:t xml:space="preserve"> </w:t>
      </w:r>
      <w:proofErr w:type="spellStart"/>
      <w:r w:rsidRPr="00C62EE4">
        <w:rPr>
          <w:rFonts w:ascii="Sylfaen" w:eastAsia="Times New Roman" w:hAnsi="Sylfaen" w:cs="Sylfaen"/>
          <w:b/>
          <w:color w:val="282828"/>
          <w:sz w:val="20"/>
          <w:szCs w:val="20"/>
          <w:lang w:val="en-US"/>
        </w:rPr>
        <w:t>ინფექციურ</w:t>
      </w:r>
      <w:r w:rsidRPr="00C62EE4">
        <w:rPr>
          <w:rFonts w:ascii="Arial" w:eastAsia="Times New Roman" w:hAnsi="Arial" w:cs="Arial"/>
          <w:b/>
          <w:color w:val="282828"/>
          <w:sz w:val="20"/>
          <w:szCs w:val="20"/>
          <w:lang w:val="en-US"/>
        </w:rPr>
        <w:t>-</w:t>
      </w:r>
      <w:r w:rsidRPr="00C62EE4">
        <w:rPr>
          <w:rFonts w:ascii="Sylfaen" w:eastAsia="Times New Roman" w:hAnsi="Sylfaen" w:cs="Sylfaen"/>
          <w:b/>
          <w:color w:val="282828"/>
          <w:sz w:val="20"/>
          <w:szCs w:val="20"/>
          <w:lang w:val="en-US"/>
        </w:rPr>
        <w:t>ანთებითი</w:t>
      </w:r>
      <w:proofErr w:type="spellEnd"/>
      <w:r w:rsidRPr="00C62EE4">
        <w:rPr>
          <w:rFonts w:ascii="Arial" w:eastAsia="Times New Roman" w:hAnsi="Arial" w:cs="Arial"/>
          <w:b/>
          <w:color w:val="282828"/>
          <w:sz w:val="20"/>
          <w:szCs w:val="20"/>
          <w:lang w:val="en-US"/>
        </w:rPr>
        <w:t xml:space="preserve"> </w:t>
      </w:r>
      <w:proofErr w:type="spellStart"/>
      <w:r w:rsidRPr="00C62EE4">
        <w:rPr>
          <w:rFonts w:ascii="Sylfaen" w:eastAsia="Times New Roman" w:hAnsi="Sylfaen" w:cs="Sylfaen"/>
          <w:b/>
          <w:color w:val="282828"/>
          <w:sz w:val="20"/>
          <w:szCs w:val="20"/>
          <w:lang w:val="en-US"/>
        </w:rPr>
        <w:t>დაავადებების</w:t>
      </w:r>
      <w:proofErr w:type="spellEnd"/>
      <w:r w:rsidRPr="00C62EE4">
        <w:rPr>
          <w:rFonts w:ascii="Arial" w:eastAsia="Times New Roman" w:hAnsi="Arial" w:cs="Arial"/>
          <w:b/>
          <w:color w:val="282828"/>
          <w:sz w:val="20"/>
          <w:szCs w:val="20"/>
          <w:lang w:val="en-US"/>
        </w:rPr>
        <w:t xml:space="preserve"> </w:t>
      </w:r>
      <w:proofErr w:type="spellStart"/>
      <w:r w:rsidRPr="00C62EE4">
        <w:rPr>
          <w:rFonts w:ascii="Sylfaen" w:eastAsia="Times New Roman" w:hAnsi="Sylfaen" w:cs="Sylfaen"/>
          <w:b/>
          <w:color w:val="282828"/>
          <w:sz w:val="20"/>
          <w:szCs w:val="20"/>
          <w:lang w:val="en-US"/>
        </w:rPr>
        <w:t>სამკურნალოდ</w:t>
      </w:r>
      <w:proofErr w:type="spellEnd"/>
      <w:r w:rsidRPr="00C62EE4">
        <w:rPr>
          <w:rFonts w:ascii="Arial" w:eastAsia="Times New Roman" w:hAnsi="Arial" w:cs="Arial"/>
          <w:b/>
          <w:color w:val="282828"/>
          <w:sz w:val="20"/>
          <w:szCs w:val="20"/>
          <w:lang w:val="en-US"/>
        </w:rPr>
        <w:t>:</w:t>
      </w:r>
    </w:p>
    <w:p w:rsidR="00C62EE4" w:rsidRPr="00C62EE4" w:rsidRDefault="00C62EE4" w:rsidP="00C62EE4">
      <w:pPr>
        <w:numPr>
          <w:ilvl w:val="0"/>
          <w:numId w:val="1"/>
        </w:numPr>
        <w:shd w:val="clear" w:color="auto" w:fill="FFFFFF"/>
        <w:spacing w:before="100" w:beforeAutospacing="1" w:after="100" w:afterAutospacing="1" w:line="240" w:lineRule="auto"/>
        <w:rPr>
          <w:rFonts w:ascii="Arial" w:eastAsia="Times New Roman" w:hAnsi="Arial" w:cs="Arial"/>
          <w:b/>
          <w:color w:val="646464"/>
          <w:sz w:val="20"/>
          <w:szCs w:val="20"/>
          <w:lang w:val="en-US"/>
        </w:rPr>
      </w:pPr>
      <w:proofErr w:type="spellStart"/>
      <w:r w:rsidRPr="00C62EE4">
        <w:rPr>
          <w:rFonts w:ascii="Sylfaen" w:eastAsia="Times New Roman" w:hAnsi="Sylfaen" w:cs="Sylfaen"/>
          <w:b/>
          <w:color w:val="646464"/>
          <w:sz w:val="20"/>
          <w:szCs w:val="20"/>
          <w:lang w:val="en-US"/>
        </w:rPr>
        <w:t>სასუნთქი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სისტემის</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ინფექციები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ბრონქიტი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პნევმონია</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ფილტვის</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აბსცესი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პლევრის</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ემპიემა</w:t>
      </w:r>
      <w:proofErr w:type="spellEnd"/>
      <w:r w:rsidRPr="00C62EE4">
        <w:rPr>
          <w:rFonts w:ascii="Arial" w:eastAsia="Times New Roman" w:hAnsi="Arial" w:cs="Arial"/>
          <w:b/>
          <w:color w:val="646464"/>
          <w:sz w:val="20"/>
          <w:szCs w:val="20"/>
          <w:lang w:val="en-US"/>
        </w:rPr>
        <w:t>; </w:t>
      </w:r>
    </w:p>
    <w:p w:rsidR="00C62EE4" w:rsidRPr="00C62EE4" w:rsidRDefault="00C62EE4" w:rsidP="00C62EE4">
      <w:pPr>
        <w:numPr>
          <w:ilvl w:val="0"/>
          <w:numId w:val="1"/>
        </w:numPr>
        <w:shd w:val="clear" w:color="auto" w:fill="FFFFFF"/>
        <w:spacing w:before="100" w:beforeAutospacing="1" w:after="100" w:afterAutospacing="1" w:line="240" w:lineRule="auto"/>
        <w:rPr>
          <w:rFonts w:ascii="Arial" w:eastAsia="Times New Roman" w:hAnsi="Arial" w:cs="Arial"/>
          <w:b/>
          <w:color w:val="646464"/>
          <w:sz w:val="20"/>
          <w:szCs w:val="20"/>
          <w:lang w:val="en-US"/>
        </w:rPr>
      </w:pPr>
      <w:proofErr w:type="spellStart"/>
      <w:r w:rsidRPr="00C62EE4">
        <w:rPr>
          <w:rFonts w:ascii="Sylfaen" w:eastAsia="Times New Roman" w:hAnsi="Sylfaen" w:cs="Sylfaen"/>
          <w:b/>
          <w:color w:val="646464"/>
          <w:sz w:val="20"/>
          <w:szCs w:val="20"/>
          <w:lang w:val="en-US"/>
        </w:rPr>
        <w:t>ოტორინოლარინგოლოგიური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ინფექციები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შუა</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ყურის</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მწვავე</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ანთება</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სინუსიტი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მასტოიდიტი</w:t>
      </w:r>
      <w:proofErr w:type="spellEnd"/>
      <w:r w:rsidRPr="00C62EE4">
        <w:rPr>
          <w:rFonts w:ascii="Arial" w:eastAsia="Times New Roman" w:hAnsi="Arial" w:cs="Arial"/>
          <w:b/>
          <w:color w:val="646464"/>
          <w:sz w:val="20"/>
          <w:szCs w:val="20"/>
          <w:lang w:val="en-US"/>
        </w:rPr>
        <w:t>;</w:t>
      </w:r>
    </w:p>
    <w:p w:rsidR="00C62EE4" w:rsidRPr="00C62EE4" w:rsidRDefault="00C62EE4" w:rsidP="00C62EE4">
      <w:pPr>
        <w:numPr>
          <w:ilvl w:val="0"/>
          <w:numId w:val="1"/>
        </w:numPr>
        <w:shd w:val="clear" w:color="auto" w:fill="FFFFFF"/>
        <w:spacing w:before="100" w:beforeAutospacing="1" w:after="100" w:afterAutospacing="1" w:line="240" w:lineRule="auto"/>
        <w:rPr>
          <w:rFonts w:ascii="Arial" w:eastAsia="Times New Roman" w:hAnsi="Arial" w:cs="Arial"/>
          <w:b/>
          <w:color w:val="646464"/>
          <w:sz w:val="20"/>
          <w:szCs w:val="20"/>
          <w:lang w:val="en-US"/>
        </w:rPr>
      </w:pPr>
      <w:proofErr w:type="spellStart"/>
      <w:r w:rsidRPr="00C62EE4">
        <w:rPr>
          <w:rFonts w:ascii="Sylfaen" w:eastAsia="Times New Roman" w:hAnsi="Sylfaen" w:cs="Sylfaen"/>
          <w:b/>
          <w:color w:val="646464"/>
          <w:sz w:val="20"/>
          <w:szCs w:val="20"/>
          <w:lang w:val="en-US"/>
        </w:rPr>
        <w:t>კანისა</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და</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რბილი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ქსოვილების</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ინფექციები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მათ</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შორის</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ფურუნკულოზი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აბსცესი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ინფიცირებული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დამწვრობა</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და</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ჭრილობა</w:t>
      </w:r>
      <w:proofErr w:type="spellEnd"/>
      <w:r w:rsidRPr="00C62EE4">
        <w:rPr>
          <w:rFonts w:ascii="Arial" w:eastAsia="Times New Roman" w:hAnsi="Arial" w:cs="Arial"/>
          <w:b/>
          <w:color w:val="646464"/>
          <w:sz w:val="20"/>
          <w:szCs w:val="20"/>
          <w:lang w:val="en-US"/>
        </w:rPr>
        <w:t>; </w:t>
      </w:r>
    </w:p>
    <w:p w:rsidR="00C62EE4" w:rsidRPr="00C62EE4" w:rsidRDefault="00C62EE4" w:rsidP="00C62EE4">
      <w:pPr>
        <w:numPr>
          <w:ilvl w:val="0"/>
          <w:numId w:val="1"/>
        </w:numPr>
        <w:shd w:val="clear" w:color="auto" w:fill="FFFFFF"/>
        <w:spacing w:before="100" w:beforeAutospacing="1" w:after="100" w:afterAutospacing="1" w:line="240" w:lineRule="auto"/>
        <w:rPr>
          <w:rFonts w:ascii="Arial" w:eastAsia="Times New Roman" w:hAnsi="Arial" w:cs="Arial"/>
          <w:b/>
          <w:color w:val="646464"/>
          <w:sz w:val="20"/>
          <w:szCs w:val="20"/>
          <w:lang w:val="en-US"/>
        </w:rPr>
      </w:pPr>
      <w:proofErr w:type="spellStart"/>
      <w:r w:rsidRPr="00C62EE4">
        <w:rPr>
          <w:rFonts w:ascii="Sylfaen" w:eastAsia="Times New Roman" w:hAnsi="Sylfaen" w:cs="Sylfaen"/>
          <w:b/>
          <w:color w:val="646464"/>
          <w:sz w:val="20"/>
          <w:szCs w:val="20"/>
          <w:lang w:val="en-US"/>
        </w:rPr>
        <w:lastRenderedPageBreak/>
        <w:t>ძვლებისა</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და</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სახსრების</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ინფექციები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ოსტეომიელიტის</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ჩათვლით</w:t>
      </w:r>
      <w:proofErr w:type="spellEnd"/>
      <w:r w:rsidRPr="00C62EE4">
        <w:rPr>
          <w:rFonts w:ascii="Arial" w:eastAsia="Times New Roman" w:hAnsi="Arial" w:cs="Arial"/>
          <w:b/>
          <w:color w:val="646464"/>
          <w:sz w:val="20"/>
          <w:szCs w:val="20"/>
          <w:lang w:val="en-US"/>
        </w:rPr>
        <w:t>; </w:t>
      </w:r>
    </w:p>
    <w:p w:rsidR="00C62EE4" w:rsidRPr="00C62EE4" w:rsidRDefault="00C62EE4" w:rsidP="00C62EE4">
      <w:pPr>
        <w:numPr>
          <w:ilvl w:val="0"/>
          <w:numId w:val="1"/>
        </w:numPr>
        <w:shd w:val="clear" w:color="auto" w:fill="FFFFFF"/>
        <w:spacing w:before="100" w:beforeAutospacing="1" w:after="100" w:afterAutospacing="1" w:line="240" w:lineRule="auto"/>
        <w:rPr>
          <w:rFonts w:ascii="Arial" w:eastAsia="Times New Roman" w:hAnsi="Arial" w:cs="Arial"/>
          <w:b/>
          <w:color w:val="646464"/>
          <w:sz w:val="20"/>
          <w:szCs w:val="20"/>
          <w:lang w:val="en-US"/>
        </w:rPr>
      </w:pPr>
      <w:proofErr w:type="spellStart"/>
      <w:r w:rsidRPr="00C62EE4">
        <w:rPr>
          <w:rFonts w:ascii="Sylfaen" w:eastAsia="Times New Roman" w:hAnsi="Sylfaen" w:cs="Sylfaen"/>
          <w:b/>
          <w:color w:val="646464"/>
          <w:sz w:val="20"/>
          <w:szCs w:val="20"/>
          <w:lang w:val="en-US"/>
        </w:rPr>
        <w:t>სეფსისი</w:t>
      </w:r>
      <w:proofErr w:type="spellEnd"/>
      <w:r w:rsidRPr="00C62EE4">
        <w:rPr>
          <w:rFonts w:ascii="Arial" w:eastAsia="Times New Roman" w:hAnsi="Arial" w:cs="Arial"/>
          <w:b/>
          <w:color w:val="646464"/>
          <w:sz w:val="20"/>
          <w:szCs w:val="20"/>
          <w:lang w:val="en-US"/>
        </w:rPr>
        <w:t>;</w:t>
      </w:r>
    </w:p>
    <w:p w:rsidR="00C62EE4" w:rsidRPr="00C62EE4" w:rsidRDefault="00C62EE4" w:rsidP="00C62EE4">
      <w:pPr>
        <w:numPr>
          <w:ilvl w:val="0"/>
          <w:numId w:val="1"/>
        </w:numPr>
        <w:shd w:val="clear" w:color="auto" w:fill="FFFFFF"/>
        <w:spacing w:before="100" w:beforeAutospacing="1" w:after="100" w:afterAutospacing="1" w:line="240" w:lineRule="auto"/>
        <w:rPr>
          <w:rFonts w:ascii="Arial" w:eastAsia="Times New Roman" w:hAnsi="Arial" w:cs="Arial"/>
          <w:b/>
          <w:color w:val="646464"/>
          <w:sz w:val="20"/>
          <w:szCs w:val="20"/>
          <w:lang w:val="en-US"/>
        </w:rPr>
      </w:pPr>
      <w:proofErr w:type="spellStart"/>
      <w:r w:rsidRPr="00C62EE4">
        <w:rPr>
          <w:rFonts w:ascii="Sylfaen" w:eastAsia="Times New Roman" w:hAnsi="Sylfaen" w:cs="Sylfaen"/>
          <w:b/>
          <w:color w:val="646464"/>
          <w:sz w:val="20"/>
          <w:szCs w:val="20"/>
          <w:lang w:val="en-US"/>
        </w:rPr>
        <w:t>ბაქტერიული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მენინგიტი</w:t>
      </w:r>
      <w:proofErr w:type="spellEnd"/>
      <w:r w:rsidRPr="00C62EE4">
        <w:rPr>
          <w:rFonts w:ascii="Arial" w:eastAsia="Times New Roman" w:hAnsi="Arial" w:cs="Arial"/>
          <w:b/>
          <w:color w:val="646464"/>
          <w:sz w:val="20"/>
          <w:szCs w:val="20"/>
          <w:lang w:val="en-US"/>
        </w:rPr>
        <w:t>;</w:t>
      </w:r>
    </w:p>
    <w:p w:rsidR="00C62EE4" w:rsidRPr="00C62EE4" w:rsidRDefault="00C62EE4" w:rsidP="00C62EE4">
      <w:pPr>
        <w:numPr>
          <w:ilvl w:val="0"/>
          <w:numId w:val="1"/>
        </w:numPr>
        <w:shd w:val="clear" w:color="auto" w:fill="FFFFFF"/>
        <w:spacing w:before="100" w:beforeAutospacing="1" w:after="100" w:afterAutospacing="1" w:line="240" w:lineRule="auto"/>
        <w:rPr>
          <w:rFonts w:ascii="Arial" w:eastAsia="Times New Roman" w:hAnsi="Arial" w:cs="Arial"/>
          <w:b/>
          <w:color w:val="646464"/>
          <w:sz w:val="20"/>
          <w:szCs w:val="20"/>
          <w:lang w:val="en-US"/>
        </w:rPr>
      </w:pPr>
      <w:proofErr w:type="spellStart"/>
      <w:r w:rsidRPr="00C62EE4">
        <w:rPr>
          <w:rFonts w:ascii="Sylfaen" w:eastAsia="Times New Roman" w:hAnsi="Sylfaen" w:cs="Sylfaen"/>
          <w:b/>
          <w:color w:val="646464"/>
          <w:sz w:val="20"/>
          <w:szCs w:val="20"/>
          <w:lang w:val="en-US"/>
        </w:rPr>
        <w:t>ბაქტერიული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ენდოკარდიტი</w:t>
      </w:r>
      <w:proofErr w:type="spellEnd"/>
      <w:r w:rsidRPr="00C62EE4">
        <w:rPr>
          <w:rFonts w:ascii="Arial" w:eastAsia="Times New Roman" w:hAnsi="Arial" w:cs="Arial"/>
          <w:b/>
          <w:color w:val="646464"/>
          <w:sz w:val="20"/>
          <w:szCs w:val="20"/>
          <w:lang w:val="en-US"/>
        </w:rPr>
        <w:t>;</w:t>
      </w:r>
    </w:p>
    <w:p w:rsidR="00C62EE4" w:rsidRPr="00C62EE4" w:rsidRDefault="00C62EE4" w:rsidP="00C62EE4">
      <w:pPr>
        <w:numPr>
          <w:ilvl w:val="0"/>
          <w:numId w:val="1"/>
        </w:numPr>
        <w:shd w:val="clear" w:color="auto" w:fill="FFFFFF"/>
        <w:spacing w:before="100" w:beforeAutospacing="1" w:after="100" w:afterAutospacing="1" w:line="240" w:lineRule="auto"/>
        <w:rPr>
          <w:rFonts w:ascii="Arial" w:eastAsia="Times New Roman" w:hAnsi="Arial" w:cs="Arial"/>
          <w:b/>
          <w:color w:val="646464"/>
          <w:sz w:val="20"/>
          <w:szCs w:val="20"/>
          <w:lang w:val="en-US"/>
        </w:rPr>
      </w:pPr>
      <w:proofErr w:type="spellStart"/>
      <w:r w:rsidRPr="00C62EE4">
        <w:rPr>
          <w:rFonts w:ascii="Sylfaen" w:eastAsia="Times New Roman" w:hAnsi="Sylfaen" w:cs="Sylfaen"/>
          <w:b/>
          <w:color w:val="646464"/>
          <w:sz w:val="20"/>
          <w:szCs w:val="20"/>
          <w:lang w:val="en-US"/>
        </w:rPr>
        <w:t>ინტრააბდომინალური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ინფექციები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პერიტონიტის</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კუჭ</w:t>
      </w:r>
      <w:r w:rsidRPr="00C62EE4">
        <w:rPr>
          <w:rFonts w:ascii="Arial" w:eastAsia="Times New Roman" w:hAnsi="Arial" w:cs="Arial"/>
          <w:b/>
          <w:color w:val="646464"/>
          <w:sz w:val="20"/>
          <w:szCs w:val="20"/>
          <w:lang w:val="en-US"/>
        </w:rPr>
        <w:t>-</w:t>
      </w:r>
      <w:r w:rsidRPr="00C62EE4">
        <w:rPr>
          <w:rFonts w:ascii="Sylfaen" w:eastAsia="Times New Roman" w:hAnsi="Sylfaen" w:cs="Sylfaen"/>
          <w:b/>
          <w:color w:val="646464"/>
          <w:sz w:val="20"/>
          <w:szCs w:val="20"/>
          <w:lang w:val="en-US"/>
        </w:rPr>
        <w:t>ნაწლავის</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ტრაქტისა</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და</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სანაღვლე</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გზების</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ინფექციების</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ჩათვლით</w:t>
      </w:r>
      <w:proofErr w:type="spellEnd"/>
      <w:r w:rsidRPr="00C62EE4">
        <w:rPr>
          <w:rFonts w:ascii="Arial" w:eastAsia="Times New Roman" w:hAnsi="Arial" w:cs="Arial"/>
          <w:b/>
          <w:color w:val="646464"/>
          <w:sz w:val="20"/>
          <w:szCs w:val="20"/>
          <w:lang w:val="en-US"/>
        </w:rPr>
        <w:t>;</w:t>
      </w:r>
    </w:p>
    <w:p w:rsidR="00C62EE4" w:rsidRPr="00C62EE4" w:rsidRDefault="00C62EE4" w:rsidP="00C62EE4">
      <w:pPr>
        <w:numPr>
          <w:ilvl w:val="0"/>
          <w:numId w:val="1"/>
        </w:numPr>
        <w:shd w:val="clear" w:color="auto" w:fill="FFFFFF"/>
        <w:spacing w:before="100" w:beforeAutospacing="1" w:after="100" w:afterAutospacing="1" w:line="240" w:lineRule="auto"/>
        <w:rPr>
          <w:rFonts w:ascii="Arial" w:eastAsia="Times New Roman" w:hAnsi="Arial" w:cs="Arial"/>
          <w:b/>
          <w:color w:val="646464"/>
          <w:sz w:val="20"/>
          <w:szCs w:val="20"/>
          <w:lang w:val="en-US"/>
        </w:rPr>
      </w:pPr>
      <w:proofErr w:type="spellStart"/>
      <w:r w:rsidRPr="00C62EE4">
        <w:rPr>
          <w:rFonts w:ascii="Sylfaen" w:eastAsia="Times New Roman" w:hAnsi="Sylfaen" w:cs="Sylfaen"/>
          <w:b/>
          <w:color w:val="646464"/>
          <w:sz w:val="20"/>
          <w:szCs w:val="20"/>
          <w:lang w:val="en-US"/>
        </w:rPr>
        <w:t>მცირე</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მენჯის</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ღრუს</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ორგანოების</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ანთებითი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დაავადებები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მათ</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შორის</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ენდომეტრიტი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სალპინგიტი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ტუბოოვარიული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აბსცესი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პელვიოპერიტონიტი</w:t>
      </w:r>
      <w:proofErr w:type="spellEnd"/>
      <w:r w:rsidRPr="00C62EE4">
        <w:rPr>
          <w:rFonts w:ascii="Arial" w:eastAsia="Times New Roman" w:hAnsi="Arial" w:cs="Arial"/>
          <w:b/>
          <w:color w:val="646464"/>
          <w:sz w:val="20"/>
          <w:szCs w:val="20"/>
          <w:lang w:val="en-US"/>
        </w:rPr>
        <w:t>;</w:t>
      </w:r>
    </w:p>
    <w:p w:rsidR="00C62EE4" w:rsidRPr="00C62EE4" w:rsidRDefault="00C62EE4" w:rsidP="00C62EE4">
      <w:pPr>
        <w:numPr>
          <w:ilvl w:val="0"/>
          <w:numId w:val="1"/>
        </w:numPr>
        <w:shd w:val="clear" w:color="auto" w:fill="FFFFFF"/>
        <w:spacing w:before="100" w:beforeAutospacing="1" w:after="100" w:afterAutospacing="1" w:line="240" w:lineRule="auto"/>
        <w:rPr>
          <w:rFonts w:ascii="Arial" w:eastAsia="Times New Roman" w:hAnsi="Arial" w:cs="Arial"/>
          <w:b/>
          <w:color w:val="646464"/>
          <w:sz w:val="20"/>
          <w:szCs w:val="20"/>
          <w:lang w:val="en-US"/>
        </w:rPr>
      </w:pPr>
      <w:proofErr w:type="spellStart"/>
      <w:r w:rsidRPr="00C62EE4">
        <w:rPr>
          <w:rFonts w:ascii="Sylfaen" w:eastAsia="Times New Roman" w:hAnsi="Sylfaen" w:cs="Sylfaen"/>
          <w:b/>
          <w:color w:val="646464"/>
          <w:sz w:val="20"/>
          <w:szCs w:val="20"/>
          <w:lang w:val="en-US"/>
        </w:rPr>
        <w:t>ინფექციები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დაქვეითებული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იმუნიტეტის</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მქონე</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პაციენტებში</w:t>
      </w:r>
      <w:proofErr w:type="spellEnd"/>
      <w:r w:rsidRPr="00C62EE4">
        <w:rPr>
          <w:rFonts w:ascii="Arial" w:eastAsia="Times New Roman" w:hAnsi="Arial" w:cs="Arial"/>
          <w:b/>
          <w:color w:val="646464"/>
          <w:sz w:val="20"/>
          <w:szCs w:val="20"/>
          <w:lang w:val="en-US"/>
        </w:rPr>
        <w:t>;</w:t>
      </w:r>
    </w:p>
    <w:p w:rsidR="00C62EE4" w:rsidRPr="00C62EE4" w:rsidRDefault="00C62EE4" w:rsidP="00C62EE4">
      <w:pPr>
        <w:numPr>
          <w:ilvl w:val="0"/>
          <w:numId w:val="1"/>
        </w:numPr>
        <w:shd w:val="clear" w:color="auto" w:fill="FFFFFF"/>
        <w:spacing w:before="100" w:beforeAutospacing="1" w:after="100" w:afterAutospacing="1" w:line="240" w:lineRule="auto"/>
        <w:rPr>
          <w:rFonts w:ascii="Arial" w:eastAsia="Times New Roman" w:hAnsi="Arial" w:cs="Arial"/>
          <w:b/>
          <w:color w:val="646464"/>
          <w:sz w:val="20"/>
          <w:szCs w:val="20"/>
          <w:lang w:val="en-US"/>
        </w:rPr>
      </w:pPr>
      <w:proofErr w:type="spellStart"/>
      <w:r w:rsidRPr="00C62EE4">
        <w:rPr>
          <w:rFonts w:ascii="Sylfaen" w:eastAsia="Times New Roman" w:hAnsi="Sylfaen" w:cs="Sylfaen"/>
          <w:b/>
          <w:color w:val="646464"/>
          <w:sz w:val="20"/>
          <w:szCs w:val="20"/>
          <w:lang w:val="en-US"/>
        </w:rPr>
        <w:t>გენერალიზებული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სალმონელოზი</w:t>
      </w:r>
      <w:proofErr w:type="spellEnd"/>
      <w:r w:rsidRPr="00C62EE4">
        <w:rPr>
          <w:rFonts w:ascii="Arial" w:eastAsia="Times New Roman" w:hAnsi="Arial" w:cs="Arial"/>
          <w:b/>
          <w:color w:val="646464"/>
          <w:sz w:val="20"/>
          <w:szCs w:val="20"/>
          <w:lang w:val="en-US"/>
        </w:rPr>
        <w:t>;</w:t>
      </w:r>
    </w:p>
    <w:p w:rsidR="00C62EE4" w:rsidRPr="00C62EE4" w:rsidRDefault="00C62EE4" w:rsidP="00C62EE4">
      <w:pPr>
        <w:numPr>
          <w:ilvl w:val="0"/>
          <w:numId w:val="1"/>
        </w:numPr>
        <w:shd w:val="clear" w:color="auto" w:fill="FFFFFF"/>
        <w:spacing w:before="100" w:beforeAutospacing="1" w:after="100" w:afterAutospacing="1" w:line="240" w:lineRule="auto"/>
        <w:rPr>
          <w:rFonts w:ascii="Arial" w:eastAsia="Times New Roman" w:hAnsi="Arial" w:cs="Arial"/>
          <w:b/>
          <w:color w:val="646464"/>
          <w:sz w:val="20"/>
          <w:szCs w:val="20"/>
          <w:lang w:val="en-US"/>
        </w:rPr>
      </w:pPr>
      <w:proofErr w:type="spellStart"/>
      <w:r w:rsidRPr="00C62EE4">
        <w:rPr>
          <w:rFonts w:ascii="Sylfaen" w:eastAsia="Times New Roman" w:hAnsi="Sylfaen" w:cs="Sylfaen"/>
          <w:b/>
          <w:color w:val="646464"/>
          <w:sz w:val="20"/>
          <w:szCs w:val="20"/>
          <w:lang w:val="en-US"/>
        </w:rPr>
        <w:t>სქესობრივი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გზით</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გადამდები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ინფექციები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მათ</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შორის</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გონორეა</w:t>
      </w:r>
      <w:proofErr w:type="spellEnd"/>
      <w:r w:rsidRPr="00C62EE4">
        <w:rPr>
          <w:rFonts w:ascii="Arial" w:eastAsia="Times New Roman" w:hAnsi="Arial" w:cs="Arial"/>
          <w:b/>
          <w:color w:val="646464"/>
          <w:sz w:val="20"/>
          <w:szCs w:val="20"/>
          <w:lang w:val="en-US"/>
        </w:rPr>
        <w:t>; </w:t>
      </w:r>
    </w:p>
    <w:p w:rsidR="00C62EE4" w:rsidRPr="00C62EE4" w:rsidRDefault="00C62EE4" w:rsidP="00C62EE4">
      <w:pPr>
        <w:numPr>
          <w:ilvl w:val="0"/>
          <w:numId w:val="1"/>
        </w:numPr>
        <w:shd w:val="clear" w:color="auto" w:fill="FFFFFF"/>
        <w:spacing w:before="100" w:beforeAutospacing="1" w:after="100" w:afterAutospacing="1" w:line="240" w:lineRule="auto"/>
        <w:rPr>
          <w:rFonts w:ascii="Arial" w:eastAsia="Times New Roman" w:hAnsi="Arial" w:cs="Arial"/>
          <w:b/>
          <w:color w:val="646464"/>
          <w:sz w:val="20"/>
          <w:szCs w:val="20"/>
          <w:lang w:val="en-US"/>
        </w:rPr>
      </w:pPr>
      <w:proofErr w:type="spellStart"/>
      <w:r w:rsidRPr="00C62EE4">
        <w:rPr>
          <w:rFonts w:ascii="Sylfaen" w:eastAsia="Times New Roman" w:hAnsi="Sylfaen" w:cs="Sylfaen"/>
          <w:b/>
          <w:color w:val="646464"/>
          <w:sz w:val="20"/>
          <w:szCs w:val="20"/>
          <w:lang w:val="en-US"/>
        </w:rPr>
        <w:t>შარდგამომყოფი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სისტემის</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ინფექციები</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პიელონეფრიტის</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ცისტიტის</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ურეთრიტის</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პროსტატიტის</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ჩათვლით</w:t>
      </w:r>
      <w:proofErr w:type="spellEnd"/>
      <w:r w:rsidRPr="00C62EE4">
        <w:rPr>
          <w:rFonts w:ascii="Arial" w:eastAsia="Times New Roman" w:hAnsi="Arial" w:cs="Arial"/>
          <w:b/>
          <w:color w:val="646464"/>
          <w:sz w:val="20"/>
          <w:szCs w:val="20"/>
          <w:lang w:val="en-US"/>
        </w:rPr>
        <w:t>;</w:t>
      </w:r>
    </w:p>
    <w:p w:rsidR="00C62EE4" w:rsidRPr="00C62EE4" w:rsidRDefault="00C62EE4" w:rsidP="00C62EE4">
      <w:pPr>
        <w:numPr>
          <w:ilvl w:val="0"/>
          <w:numId w:val="1"/>
        </w:numPr>
        <w:shd w:val="clear" w:color="auto" w:fill="FFFFFF"/>
        <w:spacing w:before="100" w:beforeAutospacing="1" w:after="100" w:afterAutospacing="1" w:line="240" w:lineRule="auto"/>
        <w:rPr>
          <w:rFonts w:ascii="Arial" w:eastAsia="Times New Roman" w:hAnsi="Arial" w:cs="Arial"/>
          <w:b/>
          <w:color w:val="646464"/>
          <w:sz w:val="20"/>
          <w:szCs w:val="20"/>
          <w:lang w:val="en-US"/>
        </w:rPr>
      </w:pPr>
      <w:proofErr w:type="spellStart"/>
      <w:proofErr w:type="gramStart"/>
      <w:r w:rsidRPr="00C62EE4">
        <w:rPr>
          <w:rFonts w:ascii="Sylfaen" w:eastAsia="Times New Roman" w:hAnsi="Sylfaen" w:cs="Sylfaen"/>
          <w:b/>
          <w:color w:val="646464"/>
          <w:sz w:val="20"/>
          <w:szCs w:val="20"/>
          <w:lang w:val="en-US"/>
        </w:rPr>
        <w:t>ინფექციების</w:t>
      </w:r>
      <w:proofErr w:type="spellEnd"/>
      <w:proofErr w:type="gram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პროფილაქტიკა</w:t>
      </w:r>
      <w:proofErr w:type="spellEnd"/>
      <w:r w:rsidRPr="00C62EE4">
        <w:rPr>
          <w:rFonts w:ascii="Arial" w:eastAsia="Times New Roman" w:hAnsi="Arial" w:cs="Arial"/>
          <w:b/>
          <w:color w:val="646464"/>
          <w:sz w:val="20"/>
          <w:szCs w:val="20"/>
          <w:lang w:val="en-US"/>
        </w:rPr>
        <w:t xml:space="preserve"> </w:t>
      </w:r>
      <w:proofErr w:type="spellStart"/>
      <w:r w:rsidRPr="00C62EE4">
        <w:rPr>
          <w:rFonts w:ascii="Sylfaen" w:eastAsia="Times New Roman" w:hAnsi="Sylfaen" w:cs="Sylfaen"/>
          <w:b/>
          <w:color w:val="646464"/>
          <w:sz w:val="20"/>
          <w:szCs w:val="20"/>
          <w:lang w:val="en-US"/>
        </w:rPr>
        <w:t>ქირურგიაში</w:t>
      </w:r>
      <w:proofErr w:type="spellEnd"/>
      <w:r w:rsidRPr="00C62EE4">
        <w:rPr>
          <w:rFonts w:ascii="Arial" w:eastAsia="Times New Roman" w:hAnsi="Arial" w:cs="Arial"/>
          <w:b/>
          <w:color w:val="646464"/>
          <w:sz w:val="20"/>
          <w:szCs w:val="20"/>
          <w:lang w:val="en-US"/>
        </w:rPr>
        <w:t>.</w:t>
      </w:r>
    </w:p>
    <w:p w:rsidR="00C62EE4" w:rsidRPr="00C62EE4" w:rsidRDefault="00C62EE4">
      <w:pPr>
        <w:rPr>
          <w:rFonts w:ascii="Sylfaen" w:hAnsi="Sylfaen"/>
          <w:b/>
          <w:lang w:val="en-US"/>
        </w:rPr>
      </w:pPr>
    </w:p>
    <w:p w:rsidR="005639A4" w:rsidRPr="00F8574A" w:rsidRDefault="005639A4">
      <w:pPr>
        <w:rPr>
          <w:rFonts w:ascii="Sylfaen" w:hAnsi="Sylfaen"/>
          <w:b/>
          <w:lang w:val="ka-GE"/>
        </w:rPr>
      </w:pPr>
      <w:r w:rsidRPr="00F8574A">
        <w:rPr>
          <w:rFonts w:ascii="Sylfaen" w:hAnsi="Sylfaen"/>
          <w:b/>
          <w:lang w:val="ka-GE"/>
        </w:rPr>
        <w:t xml:space="preserve">დოზირების </w:t>
      </w:r>
      <w:r w:rsidR="00426501" w:rsidRPr="00F8574A">
        <w:rPr>
          <w:rFonts w:ascii="Sylfaen" w:hAnsi="Sylfaen"/>
          <w:b/>
          <w:lang w:val="ka-GE"/>
        </w:rPr>
        <w:t>რეჟ</w:t>
      </w:r>
      <w:r w:rsidRPr="00F8574A">
        <w:rPr>
          <w:rFonts w:ascii="Sylfaen" w:hAnsi="Sylfaen"/>
          <w:b/>
          <w:lang w:val="ka-GE"/>
        </w:rPr>
        <w:t>იმი:</w:t>
      </w:r>
    </w:p>
    <w:p w:rsidR="0081168D" w:rsidRPr="00F8574A" w:rsidRDefault="003F3733">
      <w:pPr>
        <w:rPr>
          <w:rFonts w:ascii="Sylfaen" w:hAnsi="Sylfaen"/>
          <w:lang w:val="ka-GE"/>
        </w:rPr>
      </w:pPr>
      <w:r w:rsidRPr="00483390">
        <w:rPr>
          <w:rFonts w:ascii="Sylfaen" w:hAnsi="Sylfaen"/>
          <w:b/>
          <w:lang w:val="ka-GE"/>
        </w:rPr>
        <w:t>აბიტრაქს</w:t>
      </w:r>
      <w:r w:rsidR="005639A4" w:rsidRPr="00483390">
        <w:rPr>
          <w:rFonts w:ascii="Sylfaen" w:hAnsi="Sylfaen"/>
          <w:b/>
          <w:lang w:val="ka-GE"/>
        </w:rPr>
        <w:t>ის</w:t>
      </w:r>
      <w:r w:rsidR="005639A4" w:rsidRPr="00F8574A">
        <w:rPr>
          <w:rFonts w:ascii="Sylfaen" w:hAnsi="Sylfaen"/>
          <w:lang w:val="ka-GE"/>
        </w:rPr>
        <w:t xml:space="preserve"> რეკომენდებული სადღერამისო დოზა მოზრდილებში და 12 წლის ასაკის ზემოთ ბავშვებში შეადგენს 1გ-ს დღეში ერთხელ (ყოველ 24 საათში)ყველაზე სერიოზულ შემთხვევებში ან </w:t>
      </w:r>
      <w:r w:rsidR="00DA0FA0">
        <w:rPr>
          <w:rFonts w:ascii="Sylfaen" w:hAnsi="Sylfaen"/>
          <w:lang w:val="ka-GE"/>
        </w:rPr>
        <w:t>სა</w:t>
      </w:r>
      <w:r w:rsidR="00DA0FA0" w:rsidRPr="0046001E">
        <w:rPr>
          <w:rFonts w:ascii="Sylfaen" w:hAnsi="Sylfaen"/>
          <w:lang w:val="ka-GE"/>
        </w:rPr>
        <w:t>შ</w:t>
      </w:r>
      <w:r w:rsidR="005639A4" w:rsidRPr="00F8574A">
        <w:rPr>
          <w:rFonts w:ascii="Sylfaen" w:hAnsi="Sylfaen"/>
          <w:lang w:val="ka-GE"/>
        </w:rPr>
        <w:t xml:space="preserve">უალოდ მგრძნობიარე </w:t>
      </w:r>
      <w:r w:rsidR="00DA0FA0">
        <w:rPr>
          <w:rFonts w:ascii="Sylfaen" w:hAnsi="Sylfaen"/>
          <w:lang w:val="ka-GE"/>
        </w:rPr>
        <w:t xml:space="preserve">მიკროორგანიზმებით </w:t>
      </w:r>
      <w:r w:rsidR="005639A4" w:rsidRPr="00F8574A">
        <w:rPr>
          <w:rFonts w:ascii="Sylfaen" w:hAnsi="Sylfaen"/>
          <w:lang w:val="ka-GE"/>
        </w:rPr>
        <w:t>გამოწვეული ინფექციებისას დოზა შეიძლება გაიზარდოს</w:t>
      </w:r>
      <w:r w:rsidR="0081168D" w:rsidRPr="00F8574A">
        <w:rPr>
          <w:rFonts w:ascii="Sylfaen" w:hAnsi="Sylfaen"/>
          <w:lang w:val="ka-GE"/>
        </w:rPr>
        <w:t xml:space="preserve"> დღეში 4გ-მდე ერთი ხსნარით.</w:t>
      </w:r>
    </w:p>
    <w:p w:rsidR="007A56D4" w:rsidRPr="00F8574A" w:rsidRDefault="0081168D">
      <w:pPr>
        <w:rPr>
          <w:rFonts w:ascii="Sylfaen" w:hAnsi="Sylfaen"/>
          <w:lang w:val="ka-GE"/>
        </w:rPr>
      </w:pPr>
      <w:r w:rsidRPr="00F8574A">
        <w:rPr>
          <w:rFonts w:ascii="Sylfaen" w:hAnsi="Sylfaen"/>
          <w:lang w:val="ka-GE"/>
        </w:rPr>
        <w:t>ახალშობილები</w:t>
      </w:r>
      <w:r w:rsidR="007A56D4" w:rsidRPr="00F8574A">
        <w:rPr>
          <w:rFonts w:ascii="Sylfaen" w:hAnsi="Sylfaen"/>
          <w:lang w:val="ka-GE"/>
        </w:rPr>
        <w:t xml:space="preserve"> (ორი კვირის ასაკამდე) : დღიური დოზაა 20-50მგ/კგ ერთეულ მიღებაზე,მათი ენზიმური</w:t>
      </w:r>
      <w:r w:rsidR="007A56D4" w:rsidRPr="00F8574A">
        <w:rPr>
          <w:rFonts w:ascii="Sylfaen" w:hAnsi="Sylfaen"/>
          <w:lang w:val="ka-GE"/>
        </w:rPr>
        <w:tab/>
        <w:t>სისტემის მოუმწიფებლობის გამო დოზამ არ უნდა გადააჭარბოს 50მგ/კგ-ს.</w:t>
      </w:r>
    </w:p>
    <w:p w:rsidR="007A56D4" w:rsidRPr="00F8574A" w:rsidRDefault="00B9174E">
      <w:pPr>
        <w:rPr>
          <w:rFonts w:ascii="Sylfaen" w:hAnsi="Sylfaen"/>
          <w:lang w:val="ka-GE"/>
        </w:rPr>
      </w:pPr>
      <w:r>
        <w:rPr>
          <w:rFonts w:ascii="Sylfaen" w:hAnsi="Sylfaen"/>
          <w:lang w:val="ka-GE"/>
        </w:rPr>
        <w:t>ბაშ</w:t>
      </w:r>
      <w:r w:rsidR="007A56D4" w:rsidRPr="00F8574A">
        <w:rPr>
          <w:rFonts w:ascii="Sylfaen" w:hAnsi="Sylfaen"/>
          <w:lang w:val="ka-GE"/>
        </w:rPr>
        <w:t>ვები (3 კვირიდან 12 წლამდე):დრიური დოზა შეიძლება მერყეობდეს 20-80მგ/კგ-მდე.ინტრავენური დოზისას 50მგ/კგ.რეკომენდებულია პერფუზიის გახანგრძლივება 30 წუთამდე.</w:t>
      </w:r>
    </w:p>
    <w:p w:rsidR="00861D79" w:rsidRPr="00F8574A" w:rsidRDefault="00861D79">
      <w:pPr>
        <w:rPr>
          <w:rFonts w:ascii="Sylfaen" w:hAnsi="Sylfaen"/>
          <w:lang w:val="ka-GE"/>
        </w:rPr>
      </w:pPr>
      <w:r w:rsidRPr="00F8574A">
        <w:rPr>
          <w:rFonts w:ascii="Sylfaen" w:hAnsi="Sylfaen"/>
          <w:lang w:val="ka-GE"/>
        </w:rPr>
        <w:t xml:space="preserve">50 კგ და მეტი წონის მქონე </w:t>
      </w:r>
      <w:r w:rsidR="00DA0FA0">
        <w:rPr>
          <w:rFonts w:ascii="Sylfaen" w:hAnsi="Sylfaen"/>
          <w:lang w:val="ka-GE"/>
        </w:rPr>
        <w:t>ბავშ</w:t>
      </w:r>
      <w:r w:rsidRPr="00F8574A">
        <w:rPr>
          <w:rFonts w:ascii="Sylfaen" w:hAnsi="Sylfaen"/>
          <w:lang w:val="ka-GE"/>
        </w:rPr>
        <w:t xml:space="preserve">ვებს პრეპარატი </w:t>
      </w:r>
      <w:r w:rsidR="00DA0FA0">
        <w:rPr>
          <w:rFonts w:ascii="Sylfaen" w:hAnsi="Sylfaen"/>
          <w:lang w:val="ka-GE"/>
        </w:rPr>
        <w:t>ენიშ</w:t>
      </w:r>
      <w:r w:rsidRPr="00F8574A">
        <w:rPr>
          <w:rFonts w:ascii="Sylfaen" w:hAnsi="Sylfaen"/>
          <w:lang w:val="ka-GE"/>
        </w:rPr>
        <w:t>ნებათ იგივე დოზებში,როგორც მოზრდილებს.</w:t>
      </w:r>
    </w:p>
    <w:p w:rsidR="00861D79" w:rsidRPr="00F8574A" w:rsidRDefault="0093483F">
      <w:pPr>
        <w:rPr>
          <w:rStyle w:val="apple-converted-space"/>
          <w:rFonts w:ascii="Sylfaen" w:hAnsi="Sylfaen" w:cs="Arial"/>
          <w:color w:val="282828"/>
          <w:shd w:val="clear" w:color="auto" w:fill="FFFFFF"/>
          <w:lang w:val="ka-GE"/>
        </w:rPr>
      </w:pPr>
      <w:r w:rsidRPr="008D4D61">
        <w:rPr>
          <w:rStyle w:val="apple-converted-space"/>
          <w:rFonts w:ascii="Arial" w:hAnsi="Arial" w:cs="Arial"/>
          <w:color w:val="282828"/>
          <w:shd w:val="clear" w:color="auto" w:fill="FFFFFF"/>
          <w:lang w:val="ka-GE"/>
        </w:rPr>
        <w:t> </w:t>
      </w:r>
      <w:r w:rsidRPr="008D4D61">
        <w:rPr>
          <w:rFonts w:ascii="Sylfaen" w:hAnsi="Sylfaen" w:cs="Sylfaen"/>
          <w:color w:val="282828"/>
          <w:shd w:val="clear" w:color="auto" w:fill="FFFFFF"/>
          <w:lang w:val="ka-GE"/>
        </w:rPr>
        <w:t>მკურნალობა</w:t>
      </w:r>
      <w:r w:rsidRPr="008D4D61">
        <w:rPr>
          <w:rFonts w:ascii="Arial" w:hAnsi="Arial" w:cs="Arial"/>
          <w:color w:val="282828"/>
          <w:shd w:val="clear" w:color="auto" w:fill="FFFFFF"/>
          <w:lang w:val="ka-GE"/>
        </w:rPr>
        <w:t xml:space="preserve"> </w:t>
      </w:r>
      <w:r w:rsidRPr="008D4D61">
        <w:rPr>
          <w:rFonts w:ascii="Sylfaen" w:hAnsi="Sylfaen" w:cs="Sylfaen"/>
          <w:color w:val="282828"/>
          <w:shd w:val="clear" w:color="auto" w:fill="FFFFFF"/>
          <w:lang w:val="ka-GE"/>
        </w:rPr>
        <w:t>გრძელდება</w:t>
      </w:r>
      <w:r w:rsidRPr="008D4D61">
        <w:rPr>
          <w:rFonts w:ascii="Arial" w:hAnsi="Arial" w:cs="Arial"/>
          <w:color w:val="282828"/>
          <w:shd w:val="clear" w:color="auto" w:fill="FFFFFF"/>
          <w:lang w:val="ka-GE"/>
        </w:rPr>
        <w:t xml:space="preserve"> </w:t>
      </w:r>
      <w:r w:rsidRPr="008D4D61">
        <w:rPr>
          <w:rFonts w:ascii="Sylfaen" w:hAnsi="Sylfaen" w:cs="Sylfaen"/>
          <w:color w:val="282828"/>
          <w:shd w:val="clear" w:color="auto" w:fill="FFFFFF"/>
          <w:lang w:val="ka-GE"/>
        </w:rPr>
        <w:t>დაავადების</w:t>
      </w:r>
      <w:r w:rsidRPr="008D4D61">
        <w:rPr>
          <w:rFonts w:ascii="Arial" w:hAnsi="Arial" w:cs="Arial"/>
          <w:color w:val="282828"/>
          <w:shd w:val="clear" w:color="auto" w:fill="FFFFFF"/>
          <w:lang w:val="ka-GE"/>
        </w:rPr>
        <w:t xml:space="preserve"> </w:t>
      </w:r>
      <w:r w:rsidRPr="008D4D61">
        <w:rPr>
          <w:rFonts w:ascii="Sylfaen" w:hAnsi="Sylfaen" w:cs="Sylfaen"/>
          <w:color w:val="282828"/>
          <w:shd w:val="clear" w:color="auto" w:fill="FFFFFF"/>
          <w:lang w:val="ka-GE"/>
        </w:rPr>
        <w:t>სიმპტომების</w:t>
      </w:r>
      <w:r w:rsidRPr="008D4D61">
        <w:rPr>
          <w:rFonts w:ascii="Arial" w:hAnsi="Arial" w:cs="Arial"/>
          <w:color w:val="282828"/>
          <w:shd w:val="clear" w:color="auto" w:fill="FFFFFF"/>
          <w:lang w:val="ka-GE"/>
        </w:rPr>
        <w:t xml:space="preserve"> </w:t>
      </w:r>
      <w:r w:rsidRPr="008D4D61">
        <w:rPr>
          <w:rFonts w:ascii="Sylfaen" w:hAnsi="Sylfaen" w:cs="Sylfaen"/>
          <w:color w:val="282828"/>
          <w:shd w:val="clear" w:color="auto" w:fill="FFFFFF"/>
          <w:lang w:val="ka-GE"/>
        </w:rPr>
        <w:t>გაქრობიდან</w:t>
      </w:r>
      <w:r w:rsidRPr="008D4D61">
        <w:rPr>
          <w:rFonts w:ascii="Arial" w:hAnsi="Arial" w:cs="Arial"/>
          <w:color w:val="282828"/>
          <w:shd w:val="clear" w:color="auto" w:fill="FFFFFF"/>
          <w:lang w:val="ka-GE"/>
        </w:rPr>
        <w:t xml:space="preserve"> </w:t>
      </w:r>
      <w:r w:rsidRPr="008D4D61">
        <w:rPr>
          <w:rFonts w:ascii="Sylfaen" w:hAnsi="Sylfaen" w:cs="Sylfaen"/>
          <w:color w:val="282828"/>
          <w:shd w:val="clear" w:color="auto" w:fill="FFFFFF"/>
          <w:lang w:val="ka-GE"/>
        </w:rPr>
        <w:t>მინიმუმ</w:t>
      </w:r>
      <w:r w:rsidRPr="008D4D61">
        <w:rPr>
          <w:rFonts w:ascii="Arial" w:hAnsi="Arial" w:cs="Arial"/>
          <w:color w:val="282828"/>
          <w:shd w:val="clear" w:color="auto" w:fill="FFFFFF"/>
          <w:lang w:val="ka-GE"/>
        </w:rPr>
        <w:t xml:space="preserve"> 2-3 </w:t>
      </w:r>
      <w:r w:rsidRPr="008D4D61">
        <w:rPr>
          <w:rFonts w:ascii="Sylfaen" w:hAnsi="Sylfaen" w:cs="Sylfaen"/>
          <w:color w:val="282828"/>
          <w:shd w:val="clear" w:color="auto" w:fill="FFFFFF"/>
          <w:lang w:val="ka-GE"/>
        </w:rPr>
        <w:t>დღის</w:t>
      </w:r>
      <w:r w:rsidRPr="008D4D61">
        <w:rPr>
          <w:rFonts w:ascii="Arial" w:hAnsi="Arial" w:cs="Arial"/>
          <w:color w:val="282828"/>
          <w:shd w:val="clear" w:color="auto" w:fill="FFFFFF"/>
          <w:lang w:val="ka-GE"/>
        </w:rPr>
        <w:t xml:space="preserve"> </w:t>
      </w:r>
      <w:bookmarkStart w:id="0" w:name="_GoBack"/>
      <w:bookmarkEnd w:id="0"/>
      <w:r w:rsidRPr="008D4D61">
        <w:rPr>
          <w:rFonts w:ascii="Sylfaen" w:hAnsi="Sylfaen" w:cs="Sylfaen"/>
          <w:color w:val="282828"/>
          <w:shd w:val="clear" w:color="auto" w:fill="FFFFFF"/>
          <w:lang w:val="ka-GE"/>
        </w:rPr>
        <w:t>განმავლობაში</w:t>
      </w:r>
      <w:r w:rsidRPr="008D4D61">
        <w:rPr>
          <w:rFonts w:ascii="Arial" w:hAnsi="Arial" w:cs="Arial"/>
          <w:color w:val="282828"/>
          <w:shd w:val="clear" w:color="auto" w:fill="FFFFFF"/>
          <w:lang w:val="ka-GE"/>
        </w:rPr>
        <w:t>.</w:t>
      </w:r>
      <w:r w:rsidRPr="008D4D61">
        <w:rPr>
          <w:rStyle w:val="apple-converted-space"/>
          <w:rFonts w:ascii="Arial" w:hAnsi="Arial" w:cs="Arial"/>
          <w:color w:val="282828"/>
          <w:shd w:val="clear" w:color="auto" w:fill="FFFFFF"/>
          <w:lang w:val="ka-GE"/>
        </w:rPr>
        <w:t> </w:t>
      </w:r>
    </w:p>
    <w:p w:rsidR="0093483F" w:rsidRPr="00B9174E" w:rsidRDefault="0093483F">
      <w:pPr>
        <w:rPr>
          <w:rStyle w:val="apple-converted-space"/>
          <w:rFonts w:ascii="Sylfaen" w:hAnsi="Sylfaen" w:cs="Arial"/>
          <w:b/>
          <w:color w:val="282828"/>
          <w:shd w:val="clear" w:color="auto" w:fill="FFFFFF"/>
          <w:lang w:val="ka-GE"/>
        </w:rPr>
      </w:pPr>
      <w:r w:rsidRPr="00B9174E">
        <w:rPr>
          <w:rStyle w:val="apple-converted-space"/>
          <w:rFonts w:ascii="Sylfaen" w:hAnsi="Sylfaen" w:cs="Arial"/>
          <w:b/>
          <w:color w:val="282828"/>
          <w:shd w:val="clear" w:color="auto" w:fill="FFFFFF"/>
          <w:lang w:val="ka-GE"/>
        </w:rPr>
        <w:t>ქირურგიული ინფექციების პროფილაქტიკა.</w:t>
      </w:r>
    </w:p>
    <w:p w:rsidR="0093483F" w:rsidRPr="00F8574A" w:rsidRDefault="0093483F">
      <w:pPr>
        <w:rPr>
          <w:rStyle w:val="apple-converted-space"/>
          <w:rFonts w:ascii="Sylfaen" w:hAnsi="Sylfaen" w:cs="Arial"/>
          <w:color w:val="282828"/>
          <w:shd w:val="clear" w:color="auto" w:fill="FFFFFF"/>
          <w:lang w:val="ka-GE"/>
        </w:rPr>
      </w:pPr>
      <w:r w:rsidRPr="00F8574A">
        <w:rPr>
          <w:rStyle w:val="apple-converted-space"/>
          <w:rFonts w:ascii="Sylfaen" w:hAnsi="Sylfaen" w:cs="Arial"/>
          <w:color w:val="282828"/>
          <w:shd w:val="clear" w:color="auto" w:fill="FFFFFF"/>
          <w:lang w:val="ka-GE"/>
        </w:rPr>
        <w:t>პოსტქირურგიული ინფექციების პრევენციისთვის გამოიყენება 1გ ი/მ ან 1-2 გ ი/ვ,ოპერაციამდე ერთი საათით ადრე,ქირურგიული კონტამინაციის ტიპის და რისკის მიხედვით.</w:t>
      </w:r>
    </w:p>
    <w:p w:rsidR="00F8574A" w:rsidRPr="00B9174E" w:rsidRDefault="00F8574A">
      <w:pPr>
        <w:rPr>
          <w:rStyle w:val="apple-converted-space"/>
          <w:rFonts w:ascii="Sylfaen" w:hAnsi="Sylfaen" w:cs="Arial"/>
          <w:b/>
          <w:color w:val="282828"/>
          <w:shd w:val="clear" w:color="auto" w:fill="FFFFFF"/>
          <w:lang w:val="ka-GE"/>
        </w:rPr>
      </w:pPr>
      <w:r w:rsidRPr="00B9174E">
        <w:rPr>
          <w:rStyle w:val="apple-converted-space"/>
          <w:rFonts w:ascii="Sylfaen" w:hAnsi="Sylfaen" w:cs="Arial"/>
          <w:b/>
          <w:color w:val="282828"/>
          <w:shd w:val="clear" w:color="auto" w:fill="FFFFFF"/>
          <w:lang w:val="ka-GE"/>
        </w:rPr>
        <w:t>დოზირება ცალკეულ შემთხვევებში:</w:t>
      </w:r>
    </w:p>
    <w:p w:rsidR="00F8574A" w:rsidRDefault="00F8574A">
      <w:pPr>
        <w:rPr>
          <w:rStyle w:val="apple-converted-space"/>
          <w:rFonts w:ascii="Sylfaen" w:hAnsi="Sylfaen" w:cs="Arial"/>
          <w:color w:val="282828"/>
          <w:shd w:val="clear" w:color="auto" w:fill="FFFFFF"/>
          <w:lang w:val="ka-GE"/>
        </w:rPr>
      </w:pPr>
      <w:r w:rsidRPr="00F8574A">
        <w:rPr>
          <w:rStyle w:val="apple-converted-space"/>
          <w:rFonts w:ascii="Sylfaen" w:hAnsi="Sylfaen" w:cs="Arial"/>
          <w:color w:val="282828"/>
          <w:shd w:val="clear" w:color="auto" w:fill="FFFFFF"/>
          <w:lang w:val="ka-GE"/>
        </w:rPr>
        <w:t>თირკმლის უკმარისობა:ინდივიდებში კრეატინინის კლირენსით &gt;10 მლ/წთ დოზირება შეიძლება იგივე დარჩეს.თუ კრეატინინის კლირენსი არის 10 მლ/წთ ან ნაკლები,შესაძლებელია დღეში მაქსიმუმ 2გ-</w:t>
      </w:r>
      <w:r w:rsidR="00461317">
        <w:rPr>
          <w:rStyle w:val="apple-converted-space"/>
          <w:rFonts w:ascii="Sylfaen" w:hAnsi="Sylfaen" w:cs="Arial"/>
          <w:color w:val="282828"/>
          <w:shd w:val="clear" w:color="auto" w:fill="FFFFFF"/>
          <w:lang w:val="ka-GE"/>
        </w:rPr>
        <w:t>ი</w:t>
      </w:r>
      <w:r w:rsidRPr="00F8574A">
        <w:rPr>
          <w:rStyle w:val="apple-converted-space"/>
          <w:rFonts w:ascii="Sylfaen" w:hAnsi="Sylfaen" w:cs="Arial"/>
          <w:color w:val="282828"/>
          <w:shd w:val="clear" w:color="auto" w:fill="FFFFFF"/>
          <w:lang w:val="ka-GE"/>
        </w:rPr>
        <w:t>ს მიღება.</w:t>
      </w:r>
    </w:p>
    <w:p w:rsidR="00F8574A" w:rsidRDefault="00F8574A">
      <w:pPr>
        <w:rPr>
          <w:rStyle w:val="apple-converted-space"/>
          <w:rFonts w:ascii="Sylfaen" w:hAnsi="Sylfaen" w:cs="Arial"/>
          <w:color w:val="282828"/>
          <w:shd w:val="clear" w:color="auto" w:fill="FFFFFF"/>
          <w:lang w:val="ka-GE"/>
        </w:rPr>
      </w:pPr>
      <w:r>
        <w:rPr>
          <w:rStyle w:val="apple-converted-space"/>
          <w:rFonts w:ascii="Sylfaen" w:hAnsi="Sylfaen" w:cs="Arial"/>
          <w:color w:val="282828"/>
          <w:shd w:val="clear" w:color="auto" w:fill="FFFFFF"/>
          <w:lang w:val="ka-GE"/>
        </w:rPr>
        <w:t>ღვიძლის უკმარისობა : ნორმალური დოზირება.</w:t>
      </w:r>
    </w:p>
    <w:p w:rsidR="00F8574A" w:rsidRDefault="00F8574A">
      <w:pPr>
        <w:rPr>
          <w:rStyle w:val="apple-converted-space"/>
          <w:rFonts w:ascii="Sylfaen" w:hAnsi="Sylfaen" w:cs="Arial"/>
          <w:color w:val="282828"/>
          <w:shd w:val="clear" w:color="auto" w:fill="FFFFFF"/>
          <w:lang w:val="ka-GE"/>
        </w:rPr>
      </w:pPr>
      <w:r>
        <w:rPr>
          <w:rStyle w:val="apple-converted-space"/>
          <w:rFonts w:ascii="Sylfaen" w:hAnsi="Sylfaen" w:cs="Arial"/>
          <w:color w:val="282828"/>
          <w:shd w:val="clear" w:color="auto" w:fill="FFFFFF"/>
          <w:lang w:val="ka-GE"/>
        </w:rPr>
        <w:lastRenderedPageBreak/>
        <w:t>ღვიძლის და თირკმლის უკმარისობა:შეამოწმეთ ცეფტრიაქსონის პლაზმური კონცენტრაციები.</w:t>
      </w:r>
    </w:p>
    <w:p w:rsidR="00F8574A" w:rsidRDefault="00F8574A">
      <w:pPr>
        <w:rPr>
          <w:rStyle w:val="apple-converted-space"/>
          <w:rFonts w:ascii="Sylfaen" w:hAnsi="Sylfaen" w:cs="Arial"/>
          <w:color w:val="282828"/>
          <w:shd w:val="clear" w:color="auto" w:fill="FFFFFF"/>
          <w:lang w:val="ka-GE"/>
        </w:rPr>
      </w:pPr>
      <w:r>
        <w:rPr>
          <w:rStyle w:val="apple-converted-space"/>
          <w:rFonts w:ascii="Sylfaen" w:hAnsi="Sylfaen" w:cs="Arial"/>
          <w:color w:val="282828"/>
          <w:shd w:val="clear" w:color="auto" w:fill="FFFFFF"/>
          <w:lang w:val="ka-GE"/>
        </w:rPr>
        <w:t>ნაადრევად დაბადებული ახალშობილები:მაქსიმუმ 50 მგ/კგ დღეში ერთხელ.</w:t>
      </w:r>
    </w:p>
    <w:p w:rsidR="00F8574A" w:rsidRDefault="00F8574A">
      <w:pPr>
        <w:rPr>
          <w:rStyle w:val="apple-converted-space"/>
          <w:rFonts w:ascii="Sylfaen" w:hAnsi="Sylfaen" w:cs="Arial"/>
          <w:b/>
          <w:color w:val="282828"/>
          <w:shd w:val="clear" w:color="auto" w:fill="FFFFFF"/>
          <w:lang w:val="ka-GE"/>
        </w:rPr>
      </w:pPr>
      <w:r w:rsidRPr="00F8574A">
        <w:rPr>
          <w:rStyle w:val="apple-converted-space"/>
          <w:rFonts w:ascii="Sylfaen" w:hAnsi="Sylfaen" w:cs="Arial"/>
          <w:b/>
          <w:color w:val="282828"/>
          <w:shd w:val="clear" w:color="auto" w:fill="FFFFFF"/>
          <w:lang w:val="ka-GE"/>
        </w:rPr>
        <w:t>გამოყენების წესი:</w:t>
      </w:r>
    </w:p>
    <w:p w:rsidR="001A1E48" w:rsidRDefault="001A1E48">
      <w:pPr>
        <w:rPr>
          <w:rFonts w:ascii="Sylfaen" w:hAnsi="Sylfaen" w:cs="Arial"/>
          <w:b/>
          <w:color w:val="282828"/>
          <w:shd w:val="clear" w:color="auto" w:fill="FFFFFF"/>
          <w:lang w:val="ka-GE"/>
        </w:rPr>
      </w:pPr>
      <w:r w:rsidRPr="001A1E48">
        <w:rPr>
          <w:rFonts w:ascii="Sylfaen" w:hAnsi="Sylfaen" w:cs="Arial"/>
          <w:b/>
          <w:color w:val="282828"/>
          <w:shd w:val="clear" w:color="auto" w:fill="FFFFFF"/>
          <w:lang w:val="ka-GE"/>
        </w:rPr>
        <w:t xml:space="preserve">ხსნარი ინტრამუსკულარული </w:t>
      </w:r>
      <w:r>
        <w:rPr>
          <w:rFonts w:ascii="Sylfaen" w:hAnsi="Sylfaen" w:cs="Arial"/>
          <w:b/>
          <w:color w:val="282828"/>
          <w:shd w:val="clear" w:color="auto" w:fill="FFFFFF"/>
          <w:lang w:val="ka-GE"/>
        </w:rPr>
        <w:t>გამოყენები</w:t>
      </w:r>
      <w:r w:rsidRPr="001A1E48">
        <w:rPr>
          <w:rFonts w:ascii="Sylfaen" w:hAnsi="Sylfaen" w:cs="Arial"/>
          <w:b/>
          <w:color w:val="282828"/>
          <w:shd w:val="clear" w:color="auto" w:fill="FFFFFF"/>
          <w:lang w:val="ka-GE"/>
        </w:rPr>
        <w:t>სთვის:</w:t>
      </w:r>
    </w:p>
    <w:p w:rsidR="001A1E48" w:rsidRDefault="001A1E48">
      <w:pPr>
        <w:rPr>
          <w:rFonts w:ascii="Sylfaen" w:hAnsi="Sylfaen"/>
          <w:lang w:val="ka-GE"/>
        </w:rPr>
      </w:pPr>
      <w:r w:rsidRPr="00483390">
        <w:rPr>
          <w:rFonts w:ascii="Sylfaen" w:hAnsi="Sylfaen" w:cs="Arial"/>
          <w:b/>
          <w:color w:val="282828"/>
          <w:shd w:val="clear" w:color="auto" w:fill="FFFFFF"/>
          <w:lang w:val="ka-GE"/>
        </w:rPr>
        <w:t>ინტრამუსკულარული ინექციისთვის</w:t>
      </w:r>
      <w:r>
        <w:rPr>
          <w:rFonts w:ascii="Sylfaen" w:hAnsi="Sylfaen" w:cs="Arial"/>
          <w:color w:val="282828"/>
          <w:shd w:val="clear" w:color="auto" w:fill="FFFFFF"/>
          <w:lang w:val="ka-GE"/>
        </w:rPr>
        <w:t xml:space="preserve"> </w:t>
      </w:r>
      <w:r w:rsidR="0046001E">
        <w:rPr>
          <w:rFonts w:ascii="Sylfaen" w:hAnsi="Sylfaen"/>
          <w:lang w:val="ka-GE"/>
        </w:rPr>
        <w:t>აბიტრაქსი</w:t>
      </w:r>
      <w:r w:rsidR="00483390">
        <w:rPr>
          <w:rFonts w:ascii="Sylfaen" w:hAnsi="Sylfaen"/>
          <w:lang w:val="ka-GE"/>
        </w:rPr>
        <w:t xml:space="preserve"> -</w:t>
      </w:r>
      <w:r w:rsidR="003F6DBE">
        <w:rPr>
          <w:rFonts w:ascii="Sylfaen" w:hAnsi="Sylfaen"/>
          <w:lang w:val="ka-GE"/>
        </w:rPr>
        <w:t xml:space="preserve">ი/მ განაზავეთ </w:t>
      </w:r>
      <w:r w:rsidR="00461317">
        <w:rPr>
          <w:rFonts w:ascii="Sylfaen" w:hAnsi="Sylfaen"/>
          <w:lang w:val="ka-GE"/>
        </w:rPr>
        <w:t>შ</w:t>
      </w:r>
      <w:r w:rsidR="003F6DBE">
        <w:rPr>
          <w:rFonts w:ascii="Sylfaen" w:hAnsi="Sylfaen"/>
          <w:lang w:val="ka-GE"/>
        </w:rPr>
        <w:t>ესაბამის გამხსნელში (ლიდოკაინი 1% );</w:t>
      </w:r>
      <w:r w:rsidR="003F6DBE" w:rsidRPr="003F6DBE">
        <w:rPr>
          <w:rFonts w:ascii="Sylfaen" w:hAnsi="Sylfaen"/>
          <w:lang w:val="ka-GE"/>
        </w:rPr>
        <w:t xml:space="preserve"> </w:t>
      </w:r>
      <w:r w:rsidR="0046001E">
        <w:rPr>
          <w:rFonts w:ascii="Sylfaen" w:hAnsi="Sylfaen"/>
          <w:lang w:val="ka-GE"/>
        </w:rPr>
        <w:t>აბიტრაქსის</w:t>
      </w:r>
      <w:r w:rsidR="003F6DBE">
        <w:rPr>
          <w:rFonts w:ascii="Sylfaen" w:hAnsi="Sylfaen"/>
          <w:lang w:val="ka-GE"/>
        </w:rPr>
        <w:t xml:space="preserve"> 1გ-</w:t>
      </w:r>
      <w:r w:rsidR="00461317">
        <w:rPr>
          <w:rFonts w:ascii="Sylfaen" w:hAnsi="Sylfaen"/>
          <w:lang w:val="ka-GE"/>
        </w:rPr>
        <w:t>ი</w:t>
      </w:r>
      <w:r w:rsidR="003F6DBE">
        <w:rPr>
          <w:rFonts w:ascii="Sylfaen" w:hAnsi="Sylfaen"/>
          <w:lang w:val="ka-GE"/>
        </w:rPr>
        <w:t xml:space="preserve">ს მისაღებად შეავსეთ 3.5 მლ-მდე.საჭიროა </w:t>
      </w:r>
      <w:r w:rsidR="00461317">
        <w:rPr>
          <w:rFonts w:ascii="Sylfaen" w:hAnsi="Sylfaen"/>
          <w:lang w:val="ka-GE"/>
        </w:rPr>
        <w:t>მიღ</w:t>
      </w:r>
      <w:r w:rsidR="003F6DBE">
        <w:rPr>
          <w:rFonts w:ascii="Sylfaen" w:hAnsi="Sylfaen"/>
          <w:lang w:val="ka-GE"/>
        </w:rPr>
        <w:t>ებული ხსნარის ღრმა ინექცია დუნდულა კუნთში,</w:t>
      </w:r>
      <w:r w:rsidR="00461317">
        <w:rPr>
          <w:rFonts w:ascii="Sylfaen" w:hAnsi="Sylfaen"/>
          <w:lang w:val="ka-GE"/>
        </w:rPr>
        <w:t>შ</w:t>
      </w:r>
      <w:r w:rsidR="003F6DBE">
        <w:rPr>
          <w:rFonts w:ascii="Sylfaen" w:hAnsi="Sylfaen"/>
          <w:lang w:val="ka-GE"/>
        </w:rPr>
        <w:t>ემდეგი ინექცია უნდა გაკეთდეს მეორე კუნთში.</w:t>
      </w:r>
    </w:p>
    <w:p w:rsidR="003F6DBE" w:rsidRDefault="003F6DBE">
      <w:pPr>
        <w:rPr>
          <w:rFonts w:ascii="Sylfaen" w:hAnsi="Sylfaen"/>
          <w:lang w:val="ka-GE"/>
        </w:rPr>
      </w:pPr>
      <w:r>
        <w:rPr>
          <w:rFonts w:ascii="Sylfaen" w:hAnsi="Sylfaen"/>
          <w:lang w:val="ka-GE"/>
        </w:rPr>
        <w:t>ლიდოკაინის ხსნარის ინტრავენური გამოყენება არ შეიძლება.</w:t>
      </w:r>
    </w:p>
    <w:p w:rsidR="003F6DBE" w:rsidRPr="003F6DBE" w:rsidRDefault="003F6DBE">
      <w:pPr>
        <w:rPr>
          <w:rFonts w:ascii="Sylfaen" w:hAnsi="Sylfaen"/>
          <w:b/>
          <w:lang w:val="ka-GE"/>
        </w:rPr>
      </w:pPr>
      <w:r w:rsidRPr="003F6DBE">
        <w:rPr>
          <w:rFonts w:ascii="Sylfaen" w:hAnsi="Sylfaen"/>
          <w:b/>
          <w:lang w:val="ka-GE"/>
        </w:rPr>
        <w:t>ხსნარი ინტრავენური გამოყენებისთვის:</w:t>
      </w:r>
    </w:p>
    <w:p w:rsidR="007A56D4" w:rsidRDefault="00721D00">
      <w:pPr>
        <w:rPr>
          <w:rFonts w:ascii="Sylfaen" w:hAnsi="Sylfaen"/>
          <w:lang w:val="ka-GE"/>
        </w:rPr>
      </w:pPr>
      <w:r>
        <w:rPr>
          <w:rFonts w:ascii="Sylfaen" w:hAnsi="Sylfaen" w:cs="Arial"/>
          <w:color w:val="282828"/>
          <w:shd w:val="clear" w:color="auto" w:fill="FFFFFF"/>
          <w:lang w:val="ka-GE"/>
        </w:rPr>
        <w:t>ინტრავენური ინექციისთვის</w:t>
      </w:r>
      <w:r w:rsidR="00EA6045">
        <w:rPr>
          <w:rFonts w:ascii="Sylfaen" w:hAnsi="Sylfaen" w:cs="Arial"/>
          <w:color w:val="282828"/>
          <w:shd w:val="clear" w:color="auto" w:fill="FFFFFF"/>
          <w:lang w:val="ka-GE"/>
        </w:rPr>
        <w:t>,</w:t>
      </w:r>
      <w:r w:rsidR="0046001E">
        <w:rPr>
          <w:rFonts w:ascii="Sylfaen" w:hAnsi="Sylfaen"/>
          <w:lang w:val="ka-GE"/>
        </w:rPr>
        <w:t>აბიტრაქსი</w:t>
      </w:r>
      <w:r w:rsidR="00EA6045">
        <w:rPr>
          <w:rFonts w:ascii="Sylfaen" w:hAnsi="Sylfaen"/>
          <w:lang w:val="ka-GE"/>
        </w:rPr>
        <w:t xml:space="preserve">-განაზავეთ შესაბამის ხსნარში (საინექციო წყალი) მიიღეთ 10 მლ </w:t>
      </w:r>
      <w:r w:rsidR="0046001E">
        <w:rPr>
          <w:rFonts w:ascii="Sylfaen" w:hAnsi="Sylfaen"/>
          <w:lang w:val="ka-GE"/>
        </w:rPr>
        <w:t>აბიტრაქსი</w:t>
      </w:r>
      <w:r w:rsidR="00EA6045">
        <w:rPr>
          <w:rFonts w:ascii="Sylfaen" w:hAnsi="Sylfaen"/>
          <w:lang w:val="ka-GE"/>
        </w:rPr>
        <w:t>-1გ,საჭიროა ვენაში ინექცია 2-4 წუთის განმავლობაში.</w:t>
      </w:r>
    </w:p>
    <w:p w:rsidR="00EA6045" w:rsidRPr="00EA6045" w:rsidRDefault="00EA6045">
      <w:pPr>
        <w:rPr>
          <w:rFonts w:ascii="Sylfaen" w:hAnsi="Sylfaen"/>
          <w:b/>
          <w:lang w:val="ka-GE"/>
        </w:rPr>
      </w:pPr>
      <w:r w:rsidRPr="00EA6045">
        <w:rPr>
          <w:rFonts w:ascii="Sylfaen" w:hAnsi="Sylfaen"/>
          <w:b/>
          <w:lang w:val="ka-GE"/>
        </w:rPr>
        <w:t>საინფუზიო ხსნარი:</w:t>
      </w:r>
    </w:p>
    <w:p w:rsidR="005639A4" w:rsidRDefault="004877DE">
      <w:pPr>
        <w:rPr>
          <w:rFonts w:ascii="Sylfaen" w:hAnsi="Sylfaen"/>
          <w:lang w:val="ka-GE"/>
        </w:rPr>
      </w:pPr>
      <w:r>
        <w:rPr>
          <w:rFonts w:ascii="Sylfaen" w:hAnsi="Sylfaen"/>
          <w:lang w:val="ka-GE"/>
        </w:rPr>
        <w:t>ფხვნილს ხსნიან დახლოებით 40 მლ კალციუმის იონისგან თავისუფალ ხსნარში: 0.9 % ნატრიუმის ქლორიდის ან 0.45% ნატრიუმის ქლორიდის ხსნარში 2.5% გლუკოზის შემცველობით,5% ან 10% გლუკოზის ხსნარში,5%ფრუქტოზის, 6% დექსტროზის ხსნარში.სხვა გამხსნელებს არ იყენებენ.</w:t>
      </w:r>
    </w:p>
    <w:p w:rsidR="004877DE" w:rsidRDefault="004877DE">
      <w:pPr>
        <w:rPr>
          <w:rFonts w:ascii="Sylfaen" w:hAnsi="Sylfaen"/>
          <w:lang w:val="ka-GE"/>
        </w:rPr>
      </w:pPr>
      <w:r>
        <w:rPr>
          <w:rFonts w:ascii="Sylfaen" w:hAnsi="Sylfaen"/>
          <w:lang w:val="ka-GE"/>
        </w:rPr>
        <w:t xml:space="preserve">ვენაში ინფუზიის ხანგრძლივობა </w:t>
      </w:r>
      <w:r w:rsidR="00461317">
        <w:rPr>
          <w:rFonts w:ascii="Sylfaen" w:hAnsi="Sylfaen"/>
          <w:lang w:val="ka-GE"/>
        </w:rPr>
        <w:t>შ</w:t>
      </w:r>
      <w:r>
        <w:rPr>
          <w:rFonts w:ascii="Sylfaen" w:hAnsi="Sylfaen"/>
          <w:lang w:val="ka-GE"/>
        </w:rPr>
        <w:t>ეადგენს 30 წთ-ს.</w:t>
      </w:r>
    </w:p>
    <w:p w:rsidR="004877DE" w:rsidRDefault="0046001E">
      <w:pPr>
        <w:rPr>
          <w:rFonts w:ascii="Sylfaen" w:hAnsi="Sylfaen"/>
          <w:lang w:val="ka-GE"/>
        </w:rPr>
      </w:pPr>
      <w:r>
        <w:rPr>
          <w:rFonts w:ascii="Sylfaen" w:hAnsi="Sylfaen"/>
          <w:lang w:val="ka-GE"/>
        </w:rPr>
        <w:t xml:space="preserve">აბიტრაქსი </w:t>
      </w:r>
      <w:r w:rsidR="004877DE">
        <w:rPr>
          <w:rFonts w:ascii="Sylfaen" w:hAnsi="Sylfaen"/>
          <w:lang w:val="ka-GE"/>
        </w:rPr>
        <w:t>-ხსნარი არ უნდა აურიონ სხვა ანტიმიკრობული პრეპარატის შემცველ ხსნარში</w:t>
      </w:r>
      <w:r w:rsidR="00676C0A">
        <w:rPr>
          <w:rFonts w:ascii="Sylfaen" w:hAnsi="Sylfaen"/>
          <w:lang w:val="ka-GE"/>
        </w:rPr>
        <w:t xml:space="preserve"> ან ზემოაღწერილი</w:t>
      </w:r>
      <w:r w:rsidR="00575C78">
        <w:rPr>
          <w:rFonts w:ascii="Sylfaen" w:hAnsi="Sylfaen"/>
          <w:lang w:val="ka-GE"/>
        </w:rPr>
        <w:t xml:space="preserve"> გამხსნელებისგან განსხვავებულ ნივთიერებაში შესაძლო შეუთავსებლობის გამო.</w:t>
      </w:r>
    </w:p>
    <w:p w:rsidR="00BD3FD3" w:rsidRDefault="00BD3FD3">
      <w:pPr>
        <w:rPr>
          <w:rFonts w:ascii="Sylfaen" w:hAnsi="Sylfaen"/>
          <w:b/>
          <w:lang w:val="ka-GE"/>
        </w:rPr>
      </w:pPr>
      <w:r w:rsidRPr="00BD3FD3">
        <w:rPr>
          <w:rFonts w:ascii="Sylfaen" w:hAnsi="Sylfaen"/>
          <w:b/>
          <w:lang w:val="ka-GE"/>
        </w:rPr>
        <w:t>უკუჩვენება:</w:t>
      </w:r>
    </w:p>
    <w:p w:rsidR="00BD3FD3" w:rsidRDefault="00BD3FD3">
      <w:pPr>
        <w:rPr>
          <w:rFonts w:ascii="Sylfaen" w:hAnsi="Sylfaen"/>
          <w:lang w:val="ka-GE"/>
        </w:rPr>
      </w:pPr>
      <w:r>
        <w:rPr>
          <w:rFonts w:ascii="Sylfaen" w:hAnsi="Sylfaen"/>
          <w:lang w:val="ka-GE"/>
        </w:rPr>
        <w:t>მომატებული მგრძნობელობა ცეფალოსპორინების ან შემავსებლების მიმართ.პენიცილინებისადმი მომატებული მგრძნობელობის შემთხვევაში უნდა გაითვალისწინონ ჯვარედინი ალერგიის შესაძლებლობა.</w:t>
      </w:r>
    </w:p>
    <w:p w:rsidR="000C6BED" w:rsidRDefault="000C6BED">
      <w:pPr>
        <w:rPr>
          <w:rFonts w:ascii="Sylfaen" w:hAnsi="Sylfaen"/>
          <w:b/>
          <w:lang w:val="ka-GE"/>
        </w:rPr>
      </w:pPr>
      <w:r w:rsidRPr="000C6BED">
        <w:rPr>
          <w:rFonts w:ascii="Sylfaen" w:hAnsi="Sylfaen"/>
          <w:b/>
          <w:lang w:val="ka-GE"/>
        </w:rPr>
        <w:t>ორსულობა და ლაქ</w:t>
      </w:r>
      <w:r>
        <w:rPr>
          <w:rFonts w:ascii="Sylfaen" w:hAnsi="Sylfaen"/>
          <w:b/>
          <w:lang w:val="ka-GE"/>
        </w:rPr>
        <w:t>ტაცია:</w:t>
      </w:r>
    </w:p>
    <w:p w:rsidR="00CF1AF6" w:rsidRDefault="00CF1AF6">
      <w:pPr>
        <w:rPr>
          <w:rFonts w:ascii="Sylfaen" w:hAnsi="Sylfaen"/>
          <w:lang w:val="ka-GE"/>
        </w:rPr>
      </w:pPr>
      <w:r>
        <w:rPr>
          <w:rFonts w:ascii="Sylfaen" w:hAnsi="Sylfaen"/>
          <w:lang w:val="ka-GE"/>
        </w:rPr>
        <w:t xml:space="preserve">ორსულ ქალებში,ძუძუთი კვების პერიოდში და ადრეულ ბავშვობაში,პროდუქტის მიღება საჭიროა აუცილებლობის </w:t>
      </w:r>
      <w:r w:rsidR="00147E62">
        <w:rPr>
          <w:rFonts w:ascii="Sylfaen" w:hAnsi="Sylfaen"/>
          <w:lang w:val="ka-GE"/>
        </w:rPr>
        <w:t>შ</w:t>
      </w:r>
      <w:r>
        <w:rPr>
          <w:rFonts w:ascii="Sylfaen" w:hAnsi="Sylfaen"/>
          <w:lang w:val="ka-GE"/>
        </w:rPr>
        <w:t xml:space="preserve">ემთხვევაში და </w:t>
      </w:r>
      <w:r w:rsidR="00147E62">
        <w:rPr>
          <w:rFonts w:ascii="Sylfaen" w:hAnsi="Sylfaen"/>
          <w:lang w:val="ka-GE"/>
        </w:rPr>
        <w:t>ე</w:t>
      </w:r>
      <w:r>
        <w:rPr>
          <w:rFonts w:ascii="Sylfaen" w:hAnsi="Sylfaen"/>
          <w:lang w:val="ka-GE"/>
        </w:rPr>
        <w:t>ქიმის პირდაპირი კონტროლით.</w:t>
      </w:r>
    </w:p>
    <w:p w:rsidR="003363AC" w:rsidRPr="00B9174E" w:rsidRDefault="003363AC">
      <w:pPr>
        <w:rPr>
          <w:rFonts w:ascii="Sylfaen" w:hAnsi="Sylfaen"/>
          <w:b/>
          <w:lang w:val="ka-GE"/>
        </w:rPr>
      </w:pPr>
      <w:r w:rsidRPr="00B9174E">
        <w:rPr>
          <w:rFonts w:ascii="Sylfaen" w:hAnsi="Sylfaen"/>
          <w:b/>
          <w:lang w:val="ka-GE"/>
        </w:rPr>
        <w:t>ჭარბი დოზირება:</w:t>
      </w:r>
    </w:p>
    <w:p w:rsidR="00461C28" w:rsidRDefault="003363AC" w:rsidP="00901116">
      <w:pPr>
        <w:rPr>
          <w:rFonts w:ascii="Sylfaen" w:hAnsi="Sylfaen"/>
          <w:lang w:val="ka-GE"/>
        </w:rPr>
      </w:pPr>
      <w:r>
        <w:rPr>
          <w:rFonts w:ascii="Sylfaen" w:hAnsi="Sylfaen"/>
          <w:lang w:val="ka-GE"/>
        </w:rPr>
        <w:t>ჭარბი დოზირების შემთხვევაში შეიძლება გამოვლინდეს გულისრევა,ღებინება და დიარეა.ცეფტრიაქსონის კონცენტრაციის შემცირება შეუძლებელია ჰემოდიალიზით ან  პერიტონეალური დიალიზით.არ არსებობს სპეციალური ანტიდოტი.მკურნალობა სიმპტომურია.</w:t>
      </w:r>
    </w:p>
    <w:p w:rsidR="00024F8B" w:rsidRPr="008D4D61" w:rsidRDefault="00024F8B" w:rsidP="00C45706">
      <w:pPr>
        <w:rPr>
          <w:rFonts w:ascii="Sylfaen" w:hAnsi="Sylfaen"/>
          <w:b/>
          <w:lang w:val="ka-GE"/>
        </w:rPr>
      </w:pPr>
      <w:r w:rsidRPr="008D4D61">
        <w:rPr>
          <w:rFonts w:ascii="Sylfaen" w:hAnsi="Sylfaen"/>
          <w:b/>
          <w:lang w:val="ka-GE"/>
        </w:rPr>
        <w:t>სხვა წამლებთან ურთიერთქმედება:</w:t>
      </w:r>
    </w:p>
    <w:p w:rsidR="00024F8B" w:rsidRDefault="00024F8B" w:rsidP="00024F8B">
      <w:pPr>
        <w:rPr>
          <w:rFonts w:ascii="Sylfaen" w:hAnsi="Sylfaen"/>
          <w:lang w:val="ka-GE"/>
        </w:rPr>
      </w:pPr>
      <w:r>
        <w:rPr>
          <w:rFonts w:ascii="Sylfaen" w:hAnsi="Sylfaen"/>
          <w:lang w:val="ka-GE"/>
        </w:rPr>
        <w:lastRenderedPageBreak/>
        <w:t>აცნობეთ თქვენს ექიმს ან ფარმაცევტს თუ უკანასკნელ დროს მიღებული გაქვთ რაიმე წამალი,ისინიც კი ,</w:t>
      </w:r>
      <w:r w:rsidR="00901116">
        <w:rPr>
          <w:rFonts w:ascii="Sylfaen" w:hAnsi="Sylfaen"/>
          <w:lang w:val="ka-GE"/>
        </w:rPr>
        <w:t>რ</w:t>
      </w:r>
      <w:r>
        <w:rPr>
          <w:rFonts w:ascii="Sylfaen" w:hAnsi="Sylfaen"/>
          <w:lang w:val="ka-GE"/>
        </w:rPr>
        <w:t>ომელიც რეცეპტის გარეშე გაიცემა.</w:t>
      </w:r>
      <w:r w:rsidR="0046001E">
        <w:rPr>
          <w:rFonts w:ascii="Sylfaen" w:hAnsi="Sylfaen"/>
          <w:lang w:val="ka-GE"/>
        </w:rPr>
        <w:t>აბიტრაქსი</w:t>
      </w:r>
      <w:r>
        <w:rPr>
          <w:rFonts w:ascii="Sylfaen" w:hAnsi="Sylfaen"/>
          <w:lang w:val="ka-GE"/>
        </w:rPr>
        <w:t xml:space="preserve">ს მაღალი დოზების </w:t>
      </w:r>
      <w:r w:rsidR="008D4D61">
        <w:rPr>
          <w:rFonts w:ascii="Sylfaen" w:hAnsi="Sylfaen"/>
          <w:lang w:val="ka-GE"/>
        </w:rPr>
        <w:t>ერთ</w:t>
      </w:r>
      <w:r>
        <w:rPr>
          <w:rFonts w:ascii="Sylfaen" w:hAnsi="Sylfaen"/>
          <w:lang w:val="ka-GE"/>
        </w:rPr>
        <w:t>დროული გამოყენება მაღალა</w:t>
      </w:r>
      <w:r w:rsidR="008D4D61">
        <w:rPr>
          <w:rFonts w:ascii="Sylfaen" w:hAnsi="Sylfaen"/>
          <w:lang w:val="ka-GE"/>
        </w:rPr>
        <w:t>ქ</w:t>
      </w:r>
      <w:r>
        <w:rPr>
          <w:rFonts w:ascii="Sylfaen" w:hAnsi="Sylfaen"/>
          <w:lang w:val="ka-GE"/>
        </w:rPr>
        <w:t xml:space="preserve">ტიურ დიურეტიკებთან ერთად (მაგ. ფუროსემიდი) არ </w:t>
      </w:r>
      <w:r w:rsidR="00901116">
        <w:rPr>
          <w:rFonts w:ascii="Sylfaen" w:hAnsi="Sylfaen"/>
          <w:lang w:val="ka-GE"/>
        </w:rPr>
        <w:t>მოქმედებს</w:t>
      </w:r>
      <w:r>
        <w:rPr>
          <w:rFonts w:ascii="Sylfaen" w:hAnsi="Sylfaen"/>
          <w:lang w:val="ka-GE"/>
        </w:rPr>
        <w:t xml:space="preserve"> თირკმლის </w:t>
      </w:r>
      <w:r w:rsidR="00901116">
        <w:rPr>
          <w:rFonts w:ascii="Sylfaen" w:hAnsi="Sylfaen"/>
          <w:lang w:val="ka-GE"/>
        </w:rPr>
        <w:t>ფუ</w:t>
      </w:r>
      <w:r>
        <w:rPr>
          <w:rFonts w:ascii="Sylfaen" w:hAnsi="Sylfaen"/>
          <w:lang w:val="ka-GE"/>
        </w:rPr>
        <w:t>ნქციაზე.არ არსებობს მტკიცებულება,რომ</w:t>
      </w:r>
    </w:p>
    <w:p w:rsidR="00024F8B" w:rsidRPr="00024F8B" w:rsidRDefault="0046001E" w:rsidP="00024F8B">
      <w:pPr>
        <w:rPr>
          <w:rFonts w:ascii="Sylfaen" w:hAnsi="Sylfaen"/>
          <w:lang w:val="ka-GE"/>
        </w:rPr>
      </w:pPr>
      <w:r>
        <w:rPr>
          <w:rFonts w:ascii="Sylfaen" w:hAnsi="Sylfaen"/>
          <w:lang w:val="ka-GE"/>
        </w:rPr>
        <w:t>აბიტრაქსი</w:t>
      </w:r>
      <w:r w:rsidR="00024F8B">
        <w:rPr>
          <w:rFonts w:ascii="Sylfaen" w:hAnsi="Sylfaen"/>
          <w:lang w:val="ka-GE"/>
        </w:rPr>
        <w:t xml:space="preserve"> ზრდის ამინოგლიკოზიდების თირკმლის მიმათ ტოქსიურობას.</w:t>
      </w:r>
    </w:p>
    <w:p w:rsidR="00FD7D62" w:rsidRDefault="0046001E" w:rsidP="00B95954">
      <w:pPr>
        <w:rPr>
          <w:rFonts w:ascii="Sylfaen" w:hAnsi="Sylfaen"/>
          <w:lang w:val="ka-GE"/>
        </w:rPr>
      </w:pPr>
      <w:r>
        <w:rPr>
          <w:rFonts w:ascii="Sylfaen" w:hAnsi="Sylfaen"/>
          <w:lang w:val="ka-GE"/>
        </w:rPr>
        <w:t>აბიტრაქსი</w:t>
      </w:r>
      <w:r w:rsidR="00FD7D62" w:rsidRPr="008D4D61">
        <w:rPr>
          <w:rFonts w:ascii="Sylfaen" w:hAnsi="Sylfaen"/>
          <w:lang w:val="ka-GE"/>
        </w:rPr>
        <w:t xml:space="preserve"> </w:t>
      </w:r>
      <w:r w:rsidR="00FD7D62">
        <w:rPr>
          <w:rFonts w:ascii="Sylfaen" w:hAnsi="Sylfaen"/>
          <w:lang w:val="ka-GE"/>
        </w:rPr>
        <w:t>-არ უნდა დაემატოს კალციუმის შემცველ ხსნარებს,როგორიცაა ჰარტმანის და რინგერის ხსნარები.</w:t>
      </w:r>
    </w:p>
    <w:p w:rsidR="00502439" w:rsidRPr="008D4D61" w:rsidRDefault="00502439" w:rsidP="00502439">
      <w:pPr>
        <w:rPr>
          <w:rFonts w:ascii="Sylfaen" w:hAnsi="Sylfaen"/>
          <w:b/>
          <w:lang w:val="ka-GE"/>
        </w:rPr>
      </w:pPr>
      <w:r w:rsidRPr="008D4D61">
        <w:rPr>
          <w:rFonts w:ascii="Sylfaen" w:hAnsi="Sylfaen"/>
          <w:b/>
          <w:lang w:val="ka-GE"/>
        </w:rPr>
        <w:t xml:space="preserve">გამოშვების ფორმა: </w:t>
      </w:r>
    </w:p>
    <w:p w:rsidR="00502439" w:rsidRPr="008D4D61" w:rsidRDefault="00502439" w:rsidP="00502439">
      <w:pPr>
        <w:rPr>
          <w:rFonts w:ascii="Sylfaen" w:hAnsi="Sylfaen"/>
          <w:lang w:val="ka-GE"/>
        </w:rPr>
      </w:pPr>
      <w:r w:rsidRPr="008D4D61">
        <w:rPr>
          <w:rFonts w:ascii="Sylfaen" w:hAnsi="Sylfaen"/>
          <w:lang w:val="ka-GE"/>
        </w:rPr>
        <w:t>1გ/3.5მლ 1გ ფხვნილი ი.მ. საინექციო ხსნარის მოსამზადებლად ფლაკონი №1</w:t>
      </w:r>
    </w:p>
    <w:p w:rsidR="00502439" w:rsidRPr="00502439" w:rsidRDefault="00502439" w:rsidP="00502439">
      <w:pPr>
        <w:rPr>
          <w:rFonts w:ascii="Sylfaen" w:hAnsi="Sylfaen"/>
          <w:lang w:val="ka-GE"/>
        </w:rPr>
      </w:pPr>
      <w:r w:rsidRPr="008D4D61">
        <w:rPr>
          <w:rFonts w:ascii="Sylfaen" w:hAnsi="Sylfaen"/>
          <w:lang w:val="ka-GE"/>
        </w:rPr>
        <w:t xml:space="preserve"> და გამხსნელი 35მგ/3.5მლ 3.5მლ ლიდოკაინის ჰიდროქლორიდი ამპულა №1</w:t>
      </w:r>
    </w:p>
    <w:p w:rsidR="00502439" w:rsidRDefault="00502439" w:rsidP="00B95954">
      <w:pPr>
        <w:rPr>
          <w:rFonts w:ascii="Sylfaen" w:hAnsi="Sylfaen"/>
          <w:lang w:val="ka-GE"/>
        </w:rPr>
      </w:pPr>
    </w:p>
    <w:p w:rsidR="00D97AAC" w:rsidRPr="008D4D61" w:rsidRDefault="00D97AAC" w:rsidP="00D97AAC">
      <w:pPr>
        <w:rPr>
          <w:rFonts w:ascii="Sylfaen" w:hAnsi="Sylfaen"/>
          <w:lang w:val="ka-GE"/>
        </w:rPr>
      </w:pPr>
      <w:r w:rsidRPr="008D4D61">
        <w:rPr>
          <w:rFonts w:ascii="Sylfaen" w:hAnsi="Sylfaen"/>
          <w:b/>
          <w:bCs/>
          <w:lang w:val="ka-GE"/>
        </w:rPr>
        <w:t>შენახვის პირობები</w:t>
      </w:r>
      <w:r w:rsidRPr="008D4D61">
        <w:rPr>
          <w:rFonts w:ascii="Sylfaen" w:hAnsi="Sylfaen"/>
          <w:lang w:val="ka-GE"/>
        </w:rPr>
        <w:t>: </w:t>
      </w:r>
      <w:r w:rsidRPr="008D4D61">
        <w:rPr>
          <w:rFonts w:ascii="Sylfaen" w:hAnsi="Sylfaen"/>
          <w:lang w:val="ka-GE"/>
        </w:rPr>
        <w:br/>
        <w:t>ინახება არა უმეტეს 25ºC ტემპერატურაზე, მშრალ, სინათლისაგან დაცულ და ბავშვებისათვის მიუწვდომელ ადგილას. </w:t>
      </w:r>
      <w:r w:rsidRPr="008D4D61">
        <w:rPr>
          <w:rFonts w:ascii="Sylfaen" w:hAnsi="Sylfaen"/>
          <w:lang w:val="ka-GE"/>
        </w:rPr>
        <w:br/>
      </w:r>
      <w:r w:rsidRPr="008D4D61">
        <w:rPr>
          <w:rFonts w:ascii="Sylfaen" w:hAnsi="Sylfaen"/>
          <w:b/>
          <w:bCs/>
          <w:lang w:val="ka-GE"/>
        </w:rPr>
        <w:t>ვარგისობის ვადა:</w:t>
      </w:r>
      <w:r w:rsidR="009739E1">
        <w:rPr>
          <w:rFonts w:ascii="Sylfaen" w:hAnsi="Sylfaen"/>
          <w:lang w:val="ka-GE"/>
        </w:rPr>
        <w:br/>
      </w:r>
      <w:r w:rsidRPr="008D4D61">
        <w:rPr>
          <w:rFonts w:ascii="Sylfaen" w:hAnsi="Sylfaen"/>
          <w:lang w:val="ka-GE"/>
        </w:rPr>
        <w:t>შეფუთვაზე აღნიშნული ვადის გასვლის შემდეგ პრეპარატის გამოყენება დაუშვებელია.</w:t>
      </w:r>
    </w:p>
    <w:p w:rsidR="00D97AAC" w:rsidRPr="008D4D61" w:rsidRDefault="00D97AAC" w:rsidP="00D97AAC">
      <w:pPr>
        <w:rPr>
          <w:rFonts w:ascii="Sylfaen" w:hAnsi="Sylfaen"/>
          <w:lang w:val="ka-GE"/>
        </w:rPr>
      </w:pPr>
      <w:r w:rsidRPr="008D4D61">
        <w:rPr>
          <w:rFonts w:ascii="Sylfaen" w:hAnsi="Sylfaen"/>
          <w:b/>
          <w:bCs/>
          <w:lang w:val="ka-GE"/>
        </w:rPr>
        <w:t>აფთიაქიდან გაცემის პირობა:</w:t>
      </w:r>
      <w:r w:rsidRPr="008D4D61">
        <w:rPr>
          <w:rFonts w:ascii="Sylfaen" w:hAnsi="Sylfaen"/>
          <w:lang w:val="ka-GE"/>
        </w:rPr>
        <w:t> </w:t>
      </w:r>
      <w:r w:rsidRPr="008D4D61">
        <w:rPr>
          <w:rFonts w:ascii="Sylfaen" w:hAnsi="Sylfaen"/>
          <w:lang w:val="ka-GE"/>
        </w:rPr>
        <w:br/>
        <w:t>ფარმაცევტული პროდუქტის ჯგუფი II, გაიცემა ფორმა #3 რეცეპტით.</w:t>
      </w:r>
    </w:p>
    <w:p w:rsidR="000F18FE" w:rsidRPr="00B9174E" w:rsidRDefault="000F18FE" w:rsidP="00D97AAC">
      <w:pPr>
        <w:rPr>
          <w:rFonts w:ascii="Sylfaen" w:hAnsi="Sylfaen"/>
          <w:b/>
          <w:lang w:val="ka-GE"/>
        </w:rPr>
      </w:pPr>
      <w:r w:rsidRPr="00B9174E">
        <w:rPr>
          <w:rFonts w:ascii="Sylfaen" w:hAnsi="Sylfaen"/>
          <w:b/>
          <w:lang w:val="ka-GE"/>
        </w:rPr>
        <w:t xml:space="preserve">მწარმოებელი კომპანია: </w:t>
      </w:r>
    </w:p>
    <w:p w:rsidR="001857E6" w:rsidRPr="008D4D61" w:rsidRDefault="000F18FE" w:rsidP="00B95954">
      <w:pPr>
        <w:rPr>
          <w:rFonts w:ascii="Sylfaen" w:hAnsi="Sylfaen"/>
          <w:lang w:val="ka-GE"/>
        </w:rPr>
      </w:pPr>
      <w:r w:rsidRPr="008D4D61">
        <w:rPr>
          <w:rFonts w:ascii="Sylfaen" w:hAnsi="Sylfaen"/>
          <w:lang w:val="ka-GE"/>
        </w:rPr>
        <w:t>ABC PHARMACEUTICI</w:t>
      </w:r>
    </w:p>
    <w:p w:rsidR="000F18FE" w:rsidRPr="00B9174E" w:rsidRDefault="000F18FE" w:rsidP="00B95954">
      <w:pPr>
        <w:rPr>
          <w:rFonts w:ascii="Sylfaen" w:hAnsi="Sylfaen"/>
          <w:b/>
          <w:lang w:val="ka-GE"/>
        </w:rPr>
      </w:pPr>
      <w:r w:rsidRPr="00B9174E">
        <w:rPr>
          <w:rFonts w:ascii="Sylfaen" w:hAnsi="Sylfaen"/>
          <w:b/>
          <w:lang w:val="ka-GE"/>
        </w:rPr>
        <w:t>ქვეყანა:</w:t>
      </w:r>
    </w:p>
    <w:p w:rsidR="000F18FE" w:rsidRDefault="000F18FE" w:rsidP="00B95954">
      <w:pPr>
        <w:rPr>
          <w:rFonts w:ascii="Sylfaen" w:hAnsi="Sylfaen"/>
          <w:lang w:val="ka-GE"/>
        </w:rPr>
      </w:pPr>
      <w:r>
        <w:rPr>
          <w:rFonts w:ascii="Sylfaen" w:hAnsi="Sylfaen"/>
          <w:lang w:val="ka-GE"/>
        </w:rPr>
        <w:t>იტალია.</w:t>
      </w:r>
    </w:p>
    <w:p w:rsidR="000F18FE" w:rsidRPr="000F18FE" w:rsidRDefault="000F18FE" w:rsidP="00B95954">
      <w:pPr>
        <w:rPr>
          <w:rFonts w:ascii="Sylfaen" w:hAnsi="Sylfaen"/>
          <w:lang w:val="ka-GE"/>
        </w:rPr>
      </w:pPr>
    </w:p>
    <w:sectPr w:rsidR="000F18FE" w:rsidRPr="000F18FE" w:rsidSect="0069735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EA3"/>
    <w:multiLevelType w:val="multilevel"/>
    <w:tmpl w:val="6A6C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7771A"/>
    <w:rsid w:val="00010344"/>
    <w:rsid w:val="00024F8B"/>
    <w:rsid w:val="00071122"/>
    <w:rsid w:val="000C6BED"/>
    <w:rsid w:val="000F18FE"/>
    <w:rsid w:val="00147E62"/>
    <w:rsid w:val="0017284F"/>
    <w:rsid w:val="001857E6"/>
    <w:rsid w:val="001A1E48"/>
    <w:rsid w:val="001B6427"/>
    <w:rsid w:val="00252512"/>
    <w:rsid w:val="003363AC"/>
    <w:rsid w:val="003A35E1"/>
    <w:rsid w:val="003A5ABC"/>
    <w:rsid w:val="003E2114"/>
    <w:rsid w:val="003F3733"/>
    <w:rsid w:val="003F6DBE"/>
    <w:rsid w:val="00426501"/>
    <w:rsid w:val="0043496D"/>
    <w:rsid w:val="0046001E"/>
    <w:rsid w:val="00461317"/>
    <w:rsid w:val="00461C28"/>
    <w:rsid w:val="00483390"/>
    <w:rsid w:val="004877DE"/>
    <w:rsid w:val="00494832"/>
    <w:rsid w:val="004B2BB2"/>
    <w:rsid w:val="00502439"/>
    <w:rsid w:val="00551891"/>
    <w:rsid w:val="005639A4"/>
    <w:rsid w:val="00575C78"/>
    <w:rsid w:val="0057771A"/>
    <w:rsid w:val="005E3D9E"/>
    <w:rsid w:val="00676C0A"/>
    <w:rsid w:val="00697356"/>
    <w:rsid w:val="00721D00"/>
    <w:rsid w:val="007760F3"/>
    <w:rsid w:val="007A56D4"/>
    <w:rsid w:val="0081168D"/>
    <w:rsid w:val="00841409"/>
    <w:rsid w:val="00847395"/>
    <w:rsid w:val="00861D79"/>
    <w:rsid w:val="008923E5"/>
    <w:rsid w:val="008D4D61"/>
    <w:rsid w:val="00901116"/>
    <w:rsid w:val="0093483F"/>
    <w:rsid w:val="009739E1"/>
    <w:rsid w:val="00973E5B"/>
    <w:rsid w:val="009B6423"/>
    <w:rsid w:val="009B6631"/>
    <w:rsid w:val="009C7349"/>
    <w:rsid w:val="00B579CF"/>
    <w:rsid w:val="00B87A19"/>
    <w:rsid w:val="00B9174E"/>
    <w:rsid w:val="00B95954"/>
    <w:rsid w:val="00BD3FD3"/>
    <w:rsid w:val="00BE65E5"/>
    <w:rsid w:val="00C062FF"/>
    <w:rsid w:val="00C06FD3"/>
    <w:rsid w:val="00C45706"/>
    <w:rsid w:val="00C62EE4"/>
    <w:rsid w:val="00CF1AF6"/>
    <w:rsid w:val="00CF73CC"/>
    <w:rsid w:val="00D2282C"/>
    <w:rsid w:val="00D97AAC"/>
    <w:rsid w:val="00DA0FA0"/>
    <w:rsid w:val="00E2750C"/>
    <w:rsid w:val="00E55ECA"/>
    <w:rsid w:val="00EA6045"/>
    <w:rsid w:val="00F16D5E"/>
    <w:rsid w:val="00F50740"/>
    <w:rsid w:val="00F81B35"/>
    <w:rsid w:val="00F8574A"/>
    <w:rsid w:val="00FD7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3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483F"/>
  </w:style>
  <w:style w:type="character" w:styleId="Hyperlink">
    <w:name w:val="Hyperlink"/>
    <w:basedOn w:val="DefaultParagraphFont"/>
    <w:uiPriority w:val="99"/>
    <w:unhideWhenUsed/>
    <w:rsid w:val="000F18FE"/>
    <w:rPr>
      <w:color w:val="46B2B5" w:themeColor="hyperlink"/>
      <w:u w:val="single"/>
    </w:rPr>
  </w:style>
  <w:style w:type="paragraph" w:styleId="NormalWeb">
    <w:name w:val="Normal (Web)"/>
    <w:basedOn w:val="Normal"/>
    <w:uiPriority w:val="99"/>
    <w:semiHidden/>
    <w:unhideWhenUsed/>
    <w:rsid w:val="00C62EE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12119701">
      <w:bodyDiv w:val="1"/>
      <w:marLeft w:val="0"/>
      <w:marRight w:val="0"/>
      <w:marTop w:val="0"/>
      <w:marBottom w:val="0"/>
      <w:divBdr>
        <w:top w:val="none" w:sz="0" w:space="0" w:color="auto"/>
        <w:left w:val="none" w:sz="0" w:space="0" w:color="auto"/>
        <w:bottom w:val="none" w:sz="0" w:space="0" w:color="auto"/>
        <w:right w:val="none" w:sz="0" w:space="0" w:color="auto"/>
      </w:divBdr>
      <w:divsChild>
        <w:div w:id="92210429">
          <w:marLeft w:val="0"/>
          <w:marRight w:val="0"/>
          <w:marTop w:val="0"/>
          <w:marBottom w:val="0"/>
          <w:divBdr>
            <w:top w:val="none" w:sz="0" w:space="0" w:color="auto"/>
            <w:left w:val="none" w:sz="0" w:space="0" w:color="auto"/>
            <w:bottom w:val="none" w:sz="0" w:space="0" w:color="auto"/>
            <w:right w:val="none" w:sz="0" w:space="0" w:color="auto"/>
          </w:divBdr>
        </w:div>
        <w:div w:id="572081663">
          <w:marLeft w:val="0"/>
          <w:marRight w:val="0"/>
          <w:marTop w:val="0"/>
          <w:marBottom w:val="150"/>
          <w:divBdr>
            <w:top w:val="none" w:sz="0" w:space="0" w:color="auto"/>
            <w:left w:val="none" w:sz="0" w:space="0" w:color="auto"/>
            <w:bottom w:val="single" w:sz="12" w:space="0" w:color="CC0033"/>
            <w:right w:val="none" w:sz="0" w:space="0" w:color="auto"/>
          </w:divBdr>
          <w:divsChild>
            <w:div w:id="1568104052">
              <w:marLeft w:val="300"/>
              <w:marRight w:val="0"/>
              <w:marTop w:val="0"/>
              <w:marBottom w:val="0"/>
              <w:divBdr>
                <w:top w:val="none" w:sz="0" w:space="0" w:color="auto"/>
                <w:left w:val="none" w:sz="0" w:space="0" w:color="auto"/>
                <w:bottom w:val="none" w:sz="0" w:space="0" w:color="auto"/>
                <w:right w:val="none" w:sz="0" w:space="0" w:color="auto"/>
              </w:divBdr>
            </w:div>
          </w:divsChild>
        </w:div>
        <w:div w:id="1390423786">
          <w:marLeft w:val="0"/>
          <w:marRight w:val="0"/>
          <w:marTop w:val="0"/>
          <w:marBottom w:val="0"/>
          <w:divBdr>
            <w:top w:val="none" w:sz="0" w:space="0" w:color="auto"/>
            <w:left w:val="none" w:sz="0" w:space="0" w:color="auto"/>
            <w:bottom w:val="none" w:sz="0" w:space="0" w:color="auto"/>
            <w:right w:val="none" w:sz="0" w:space="0" w:color="auto"/>
          </w:divBdr>
        </w:div>
      </w:divsChild>
    </w:div>
    <w:div w:id="467404100">
      <w:bodyDiv w:val="1"/>
      <w:marLeft w:val="0"/>
      <w:marRight w:val="0"/>
      <w:marTop w:val="0"/>
      <w:marBottom w:val="0"/>
      <w:divBdr>
        <w:top w:val="none" w:sz="0" w:space="0" w:color="auto"/>
        <w:left w:val="none" w:sz="0" w:space="0" w:color="auto"/>
        <w:bottom w:val="none" w:sz="0" w:space="0" w:color="auto"/>
        <w:right w:val="none" w:sz="0" w:space="0" w:color="auto"/>
      </w:divBdr>
    </w:div>
    <w:div w:id="936672344">
      <w:bodyDiv w:val="1"/>
      <w:marLeft w:val="0"/>
      <w:marRight w:val="0"/>
      <w:marTop w:val="0"/>
      <w:marBottom w:val="0"/>
      <w:divBdr>
        <w:top w:val="none" w:sz="0" w:space="0" w:color="auto"/>
        <w:left w:val="none" w:sz="0" w:space="0" w:color="auto"/>
        <w:bottom w:val="none" w:sz="0" w:space="0" w:color="auto"/>
        <w:right w:val="none" w:sz="0" w:space="0" w:color="auto"/>
      </w:divBdr>
    </w:div>
    <w:div w:id="1223633860">
      <w:bodyDiv w:val="1"/>
      <w:marLeft w:val="0"/>
      <w:marRight w:val="0"/>
      <w:marTop w:val="0"/>
      <w:marBottom w:val="0"/>
      <w:divBdr>
        <w:top w:val="none" w:sz="0" w:space="0" w:color="auto"/>
        <w:left w:val="none" w:sz="0" w:space="0" w:color="auto"/>
        <w:bottom w:val="none" w:sz="0" w:space="0" w:color="auto"/>
        <w:right w:val="none" w:sz="0" w:space="0" w:color="auto"/>
      </w:divBdr>
    </w:div>
    <w:div w:id="160118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Badge" id="{71A07785-5930-41D4-9A83-E23602B48E98}" vid="{771EA782-DFA6-45B1-AEA3-661F1715B310}"/>
    </a:ext>
  </a:extLst>
</a:theme>
</file>

<file path=docProps/app.xml><?xml version="1.0" encoding="utf-8"?>
<Properties xmlns="http://schemas.openxmlformats.org/officeDocument/2006/extended-properties" xmlns:vt="http://schemas.openxmlformats.org/officeDocument/2006/docPropsVTypes">
  <Template>Normal</Template>
  <TotalTime>1338</TotalTime>
  <Pages>5</Pages>
  <Words>1464</Words>
  <Characters>8346</Characters>
  <Application>Microsoft Office Word</Application>
  <DocSecurity>0</DocSecurity>
  <Lines>69</Lines>
  <Paragraphs>19</Paragraphs>
  <ScaleCrop>false</ScaleCrop>
  <HeadingPairs>
    <vt:vector size="4" baseType="variant">
      <vt:variant>
        <vt:lpstr>Title</vt:lpstr>
      </vt:variant>
      <vt:variant>
        <vt:i4>1</vt:i4>
      </vt:variant>
      <vt:variant>
        <vt:lpstr>სათაური</vt:lpstr>
      </vt:variant>
      <vt:variant>
        <vt:i4>1</vt:i4>
      </vt:variant>
    </vt:vector>
  </HeadingPairs>
  <TitlesOfParts>
    <vt:vector size="2" baseType="lpstr">
      <vt:lpstr/>
      <vt:lpstr/>
    </vt:vector>
  </TitlesOfParts>
  <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noble</dc:creator>
  <cp:keywords/>
  <dc:description/>
  <cp:lastModifiedBy>user</cp:lastModifiedBy>
  <cp:revision>51</cp:revision>
  <dcterms:created xsi:type="dcterms:W3CDTF">2016-02-16T14:19:00Z</dcterms:created>
  <dcterms:modified xsi:type="dcterms:W3CDTF">2017-05-01T14:17:00Z</dcterms:modified>
</cp:coreProperties>
</file>